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A3E1F" w14:textId="092A0EA9" w:rsidR="009E3695" w:rsidRPr="006A5242" w:rsidRDefault="00B977DF" w:rsidP="006A5242">
      <w:pPr>
        <w:spacing w:line="276" w:lineRule="auto"/>
        <w:jc w:val="both"/>
        <w:rPr>
          <w:rFonts w:ascii="Times" w:hAnsi="Times"/>
          <w:sz w:val="20"/>
          <w:szCs w:val="20"/>
          <w:lang w:val="en-US"/>
        </w:rPr>
      </w:pPr>
      <w:r>
        <w:rPr>
          <w:rFonts w:ascii="Times" w:hAnsi="Times"/>
          <w:b/>
          <w:bCs/>
          <w:sz w:val="20"/>
          <w:szCs w:val="20"/>
          <w:lang w:val="en-US"/>
        </w:rPr>
        <w:t>Figure 1–source data</w:t>
      </w:r>
      <w:r w:rsidR="004F5BCD" w:rsidRPr="004F5BCD">
        <w:rPr>
          <w:rFonts w:ascii="Times" w:hAnsi="Times"/>
          <w:b/>
          <w:bCs/>
          <w:sz w:val="20"/>
          <w:szCs w:val="20"/>
          <w:lang w:val="en-US"/>
        </w:rPr>
        <w:t xml:space="preserve"> </w:t>
      </w:r>
      <w:r>
        <w:rPr>
          <w:rFonts w:ascii="Times" w:hAnsi="Times"/>
          <w:b/>
          <w:bCs/>
          <w:sz w:val="20"/>
          <w:szCs w:val="20"/>
          <w:lang w:val="en-US"/>
        </w:rPr>
        <w:t>3</w:t>
      </w:r>
      <w:r w:rsidR="004F5BCD" w:rsidRPr="004F5BCD">
        <w:rPr>
          <w:rFonts w:ascii="Times" w:hAnsi="Times"/>
          <w:b/>
          <w:bCs/>
          <w:sz w:val="20"/>
          <w:szCs w:val="20"/>
          <w:lang w:val="en-US"/>
        </w:rPr>
        <w:t xml:space="preserve">. </w:t>
      </w:r>
      <w:r w:rsidR="004935D3">
        <w:rPr>
          <w:rFonts w:ascii="Times" w:hAnsi="Times"/>
          <w:b/>
          <w:bCs/>
          <w:sz w:val="20"/>
          <w:szCs w:val="20"/>
          <w:lang w:val="en-US"/>
        </w:rPr>
        <w:t xml:space="preserve">Extracellular </w:t>
      </w:r>
      <w:r w:rsidR="004F5BCD" w:rsidRPr="004F5BCD">
        <w:rPr>
          <w:rFonts w:ascii="Times" w:hAnsi="Times"/>
          <w:b/>
          <w:bCs/>
          <w:sz w:val="20"/>
          <w:szCs w:val="20"/>
          <w:lang w:val="en-US"/>
        </w:rPr>
        <w:t xml:space="preserve">N-glycosylation sites (NGS) in </w:t>
      </w:r>
      <w:r w:rsidR="00E64920">
        <w:rPr>
          <w:rFonts w:ascii="Times" w:hAnsi="Times"/>
          <w:b/>
          <w:bCs/>
          <w:sz w:val="20"/>
          <w:szCs w:val="20"/>
          <w:lang w:val="en-US"/>
        </w:rPr>
        <w:t xml:space="preserve">non-chordate </w:t>
      </w:r>
      <w:r w:rsidR="004935D3">
        <w:rPr>
          <w:rFonts w:ascii="Times" w:hAnsi="Times"/>
          <w:b/>
          <w:bCs/>
          <w:sz w:val="20"/>
          <w:szCs w:val="20"/>
          <w:lang w:val="en-US"/>
        </w:rPr>
        <w:t>innexins with confirmed gap junction function</w:t>
      </w:r>
      <w:r w:rsidR="005D7FD3">
        <w:rPr>
          <w:rFonts w:ascii="Times" w:hAnsi="Times"/>
          <w:b/>
          <w:bCs/>
          <w:sz w:val="20"/>
          <w:szCs w:val="20"/>
          <w:lang w:val="en-US"/>
        </w:rPr>
        <w:t xml:space="preserve">. </w:t>
      </w:r>
      <w:r w:rsidR="006A5242" w:rsidRPr="00F43302">
        <w:rPr>
          <w:rFonts w:ascii="Times" w:hAnsi="Times"/>
          <w:color w:val="FF0000"/>
          <w:sz w:val="20"/>
          <w:szCs w:val="20"/>
          <w:lang w:val="en-US"/>
        </w:rPr>
        <w:t>The identified NGS have a high potential score (see Materials and Methods) and t</w:t>
      </w:r>
      <w:r w:rsidR="005D7FD3" w:rsidRPr="00F43302">
        <w:rPr>
          <w:rFonts w:ascii="Times" w:hAnsi="Times"/>
          <w:color w:val="FF0000"/>
          <w:sz w:val="20"/>
          <w:szCs w:val="20"/>
          <w:lang w:val="en-US"/>
        </w:rPr>
        <w:t xml:space="preserve">he </w:t>
      </w:r>
      <w:r w:rsidR="006A5242" w:rsidRPr="00F43302">
        <w:rPr>
          <w:rFonts w:ascii="Times" w:hAnsi="Times"/>
          <w:color w:val="FF0000"/>
          <w:sz w:val="20"/>
          <w:szCs w:val="20"/>
          <w:lang w:val="en-US"/>
        </w:rPr>
        <w:t>amino acid distribution around the</w:t>
      </w:r>
      <w:r w:rsidR="005D7FD3" w:rsidRPr="00F43302">
        <w:rPr>
          <w:rFonts w:ascii="Times" w:hAnsi="Times"/>
          <w:color w:val="FF0000"/>
          <w:sz w:val="20"/>
          <w:szCs w:val="20"/>
          <w:lang w:val="en-US"/>
        </w:rPr>
        <w:t xml:space="preserve"> N-glycosylation motif show</w:t>
      </w:r>
      <w:r w:rsidR="00602675">
        <w:rPr>
          <w:rFonts w:ascii="Times" w:hAnsi="Times"/>
          <w:color w:val="FF0000"/>
          <w:sz w:val="20"/>
          <w:szCs w:val="20"/>
          <w:lang w:val="en-US"/>
        </w:rPr>
        <w:t>s</w:t>
      </w:r>
      <w:r w:rsidR="005D7FD3" w:rsidRPr="00F43302">
        <w:rPr>
          <w:rFonts w:ascii="Times" w:hAnsi="Times"/>
          <w:color w:val="FF0000"/>
          <w:sz w:val="20"/>
          <w:szCs w:val="20"/>
          <w:lang w:val="en-US"/>
        </w:rPr>
        <w:t xml:space="preserve"> no indications </w:t>
      </w:r>
      <w:r w:rsidR="006A5242" w:rsidRPr="00F43302">
        <w:rPr>
          <w:rFonts w:ascii="Times" w:hAnsi="Times"/>
          <w:color w:val="FF0000"/>
          <w:sz w:val="20"/>
          <w:szCs w:val="20"/>
          <w:lang w:val="en-US"/>
        </w:rPr>
        <w:t>for an unoccupancy</w:t>
      </w:r>
      <w:r w:rsidR="005D7FD3" w:rsidRPr="00F43302">
        <w:rPr>
          <w:rFonts w:ascii="Times" w:hAnsi="Times"/>
          <w:color w:val="FF0000"/>
          <w:sz w:val="20"/>
          <w:szCs w:val="20"/>
          <w:lang w:val="en-US"/>
        </w:rPr>
        <w:t xml:space="preserve"> </w:t>
      </w:r>
      <w:r w:rsidR="006A5242" w:rsidRPr="00F43302">
        <w:rPr>
          <w:rFonts w:ascii="Times" w:hAnsi="Times"/>
          <w:color w:val="FF0000"/>
          <w:sz w:val="20"/>
          <w:szCs w:val="20"/>
          <w:lang w:val="en-US"/>
        </w:rPr>
        <w:t>of the predicted</w:t>
      </w:r>
      <w:r w:rsidR="00F43302">
        <w:rPr>
          <w:rFonts w:ascii="Times" w:hAnsi="Times"/>
          <w:color w:val="FF0000"/>
          <w:sz w:val="20"/>
          <w:szCs w:val="20"/>
          <w:lang w:val="en-US"/>
        </w:rPr>
        <w:t xml:space="preserve"> NGSs</w:t>
      </w:r>
      <w:r w:rsidR="006A5242" w:rsidRPr="00F43302">
        <w:rPr>
          <w:rFonts w:ascii="Times" w:hAnsi="Times"/>
          <w:color w:val="FF0000"/>
          <w:sz w:val="20"/>
          <w:szCs w:val="20"/>
          <w:lang w:val="en-US"/>
        </w:rPr>
        <w:t xml:space="preserve"> </w:t>
      </w:r>
      <w:r w:rsidR="005D7FD3" w:rsidRPr="00F43302">
        <w:rPr>
          <w:rFonts w:ascii="Times" w:hAnsi="Times"/>
          <w:color w:val="FF0000"/>
          <w:sz w:val="20"/>
          <w:szCs w:val="20"/>
          <w:lang w:val="en-US"/>
        </w:rPr>
        <w:fldChar w:fldCharType="begin" w:fldLock="1"/>
      </w:r>
      <w:r w:rsidR="002D7DE5" w:rsidRPr="00F43302">
        <w:rPr>
          <w:rFonts w:ascii="Times" w:hAnsi="Times"/>
          <w:color w:val="FF0000"/>
          <w:sz w:val="20"/>
          <w:szCs w:val="20"/>
          <w:lang w:val="en-US"/>
        </w:rPr>
        <w:instrText>ADDIN CSL_CITATION {"citationItems":[{"id":"ITEM-1","itemData":{"DOI":"10.1093/glycob/cwh008","ISSN":"1460-2423","PMID":"14514716","abstract":"We recently reported statistical analysis of structural data on glycosidic linkages. Here we extend this analysis to the glycan-protein linkage, and the peptide primary, secondary, and tertiary structures around N-glycosylation sites. We surveyed 506 glycoproteins in the Protein Data Bank crystallographic database, giving 2592 glycosylation sequons (1683 occupied) and generated a database of 626 nonredundant sequons with 386 occupied. Deviations in the expected amino acid composition were seen around occupied asparagines, particularly an increased occurrence of aromatic residues before the asparagine and threonine at position +2. Glycosylation alters the asparagine side chain torsion angle distribution and reduces its flexibility. There is an elevated probability of finding glycosylation sites in which secondary structure changes. An 11-class taxonomy was developed to describe protein surface geometry around glycosylation sites. Thirty-three percent of the occupied sites are on exposed convex surfaces, 10% in deep recesses and 20% on the edge of grooves with the glycan filling the cleft. A surprisingly large number of glycosylated asparagine residues have a low accessibility. The incidence of aromatic amino acids brought into close contact with the glycan by the folding process is higher than their normal levels on the surface or in the protein core. These data have significant implications for control of sequon occupancy and evolutionary selection of glycosylation sites and are discussed in relation to mechanisms of protein fold stabilization and regional quality control of protein folding. Hydrophobic protein-glycan interactions and the low accessibility of glycosylation sites in folded proteins are common features and may be critical in mediating these functions. © Oxford University Press 2004; all rights reserved.","author":[{"dropping-particle":"","family":"Petrescu","given":"A.-J.","non-dropping-particle":"","parse-names":false,"suffix":""}],"container-title":"Glycobiology","id":"ITEM-1","issue":"2","issued":{"date-parts":[["2003","9","26"]]},"page":"103-114","publisher":"Oxford Academic","title":"Statistical analysis of the protein environment of N-glycosylation sites: implications for occupancy, structure, and folding","type":"article-journal","volume":"14"},"uris":["http://www.mendeley.com/documents/?uuid=14e8dcd3-ad76-396a-a2c5-97f300b7745d"]}],"mendeley":{"formattedCitation":"(Petrescu, 2003)","plainTextFormattedCitation":"(Petrescu, 2003)","previouslyFormattedCitation":"(Petrescu, 2003)"},"properties":{"noteIndex":0},"schema":"https://github.com/citation-style-language/schema/raw/master/csl-citation.json"}</w:instrText>
      </w:r>
      <w:r w:rsidR="005D7FD3" w:rsidRPr="00F43302">
        <w:rPr>
          <w:rFonts w:ascii="Times" w:hAnsi="Times"/>
          <w:color w:val="FF0000"/>
          <w:sz w:val="20"/>
          <w:szCs w:val="20"/>
          <w:lang w:val="en-US"/>
        </w:rPr>
        <w:fldChar w:fldCharType="separate"/>
      </w:r>
      <w:r w:rsidR="005D7FD3" w:rsidRPr="00F43302">
        <w:rPr>
          <w:rFonts w:ascii="Times" w:hAnsi="Times"/>
          <w:noProof/>
          <w:color w:val="FF0000"/>
          <w:sz w:val="20"/>
          <w:szCs w:val="20"/>
          <w:lang w:val="en-US"/>
        </w:rPr>
        <w:t>(Petrescu, 2003)</w:t>
      </w:r>
      <w:r w:rsidR="005D7FD3" w:rsidRPr="00F43302">
        <w:rPr>
          <w:rFonts w:ascii="Times" w:hAnsi="Times"/>
          <w:color w:val="FF0000"/>
          <w:sz w:val="20"/>
          <w:szCs w:val="20"/>
          <w:lang w:val="en-US"/>
        </w:rPr>
        <w:fldChar w:fldCharType="end"/>
      </w:r>
    </w:p>
    <w:p w14:paraId="0037D31E" w14:textId="77777777" w:rsidR="00945C7C" w:rsidRPr="005D7FD3" w:rsidRDefault="00945C7C">
      <w:pPr>
        <w:rPr>
          <w:lang w:val="en-US"/>
        </w:rPr>
      </w:pPr>
    </w:p>
    <w:tbl>
      <w:tblPr>
        <w:tblpPr w:leftFromText="141" w:rightFromText="141" w:vertAnchor="text" w:tblpY="1"/>
        <w:tblOverlap w:val="never"/>
        <w:tblW w:w="9631" w:type="dxa"/>
        <w:tblLayout w:type="fixed"/>
        <w:tblCellMar>
          <w:left w:w="70" w:type="dxa"/>
          <w:right w:w="70" w:type="dxa"/>
        </w:tblCellMar>
        <w:tblLook w:val="0000" w:firstRow="0" w:lastRow="0" w:firstColumn="0" w:lastColumn="0" w:noHBand="0" w:noVBand="0"/>
      </w:tblPr>
      <w:tblGrid>
        <w:gridCol w:w="1275"/>
        <w:gridCol w:w="993"/>
        <w:gridCol w:w="1134"/>
        <w:gridCol w:w="1077"/>
        <w:gridCol w:w="510"/>
        <w:gridCol w:w="510"/>
        <w:gridCol w:w="1587"/>
        <w:gridCol w:w="844"/>
        <w:gridCol w:w="1701"/>
      </w:tblGrid>
      <w:tr w:rsidR="002D7DE5" w:rsidRPr="00AA1034" w14:paraId="2CC6CA73" w14:textId="77777777" w:rsidTr="002D7DE5">
        <w:trPr>
          <w:trHeight w:val="368"/>
        </w:trPr>
        <w:tc>
          <w:tcPr>
            <w:tcW w:w="1275" w:type="dxa"/>
            <w:vMerge w:val="restart"/>
            <w:tcBorders>
              <w:left w:val="single" w:sz="6" w:space="0" w:color="auto"/>
              <w:right w:val="single" w:sz="6" w:space="0" w:color="auto"/>
            </w:tcBorders>
            <w:shd w:val="solid" w:color="FFFFFF" w:fill="auto"/>
            <w:vAlign w:val="center"/>
          </w:tcPr>
          <w:p w14:paraId="2427440D" w14:textId="0A64C5E7" w:rsidR="002D7DE5" w:rsidRPr="002D7DE5" w:rsidRDefault="002D7DE5" w:rsidP="002D7DE5">
            <w:pPr>
              <w:autoSpaceDE w:val="0"/>
              <w:autoSpaceDN w:val="0"/>
              <w:adjustRightInd w:val="0"/>
              <w:jc w:val="center"/>
              <w:rPr>
                <w:rFonts w:ascii="Times" w:hAnsi="Times" w:cs="Calibri"/>
                <w:b/>
                <w:bCs/>
                <w:color w:val="000000" w:themeColor="text1"/>
                <w:sz w:val="16"/>
                <w:szCs w:val="16"/>
                <w:lang w:val="en-US"/>
              </w:rPr>
            </w:pPr>
            <w:r w:rsidRPr="002D7DE5">
              <w:rPr>
                <w:rFonts w:ascii="Times" w:hAnsi="Times" w:cs="Calibri"/>
                <w:b/>
                <w:bCs/>
                <w:color w:val="000000" w:themeColor="text1"/>
                <w:sz w:val="16"/>
                <w:szCs w:val="16"/>
                <w:lang w:val="en-US"/>
              </w:rPr>
              <w:t>Species</w:t>
            </w:r>
          </w:p>
        </w:tc>
        <w:tc>
          <w:tcPr>
            <w:tcW w:w="993" w:type="dxa"/>
            <w:vMerge w:val="restart"/>
            <w:tcBorders>
              <w:left w:val="single" w:sz="6" w:space="0" w:color="auto"/>
              <w:right w:val="single" w:sz="6" w:space="0" w:color="auto"/>
            </w:tcBorders>
            <w:shd w:val="solid" w:color="FFFFFF" w:fill="auto"/>
            <w:vAlign w:val="center"/>
          </w:tcPr>
          <w:p w14:paraId="33945FAF" w14:textId="77777777" w:rsidR="002D7DE5" w:rsidRPr="002D7DE5" w:rsidRDefault="002D7DE5" w:rsidP="002D7DE5">
            <w:pPr>
              <w:autoSpaceDE w:val="0"/>
              <w:autoSpaceDN w:val="0"/>
              <w:adjustRightInd w:val="0"/>
              <w:jc w:val="center"/>
              <w:rPr>
                <w:rFonts w:ascii="Times" w:hAnsi="Times" w:cs="Calibri"/>
                <w:b/>
                <w:bCs/>
                <w:color w:val="000000" w:themeColor="text1"/>
                <w:sz w:val="16"/>
                <w:szCs w:val="16"/>
                <w:lang w:val="en-US"/>
              </w:rPr>
            </w:pPr>
            <w:r w:rsidRPr="002D7DE5">
              <w:rPr>
                <w:rFonts w:ascii="Times" w:hAnsi="Times" w:cs="Calibri"/>
                <w:b/>
                <w:bCs/>
                <w:color w:val="000000" w:themeColor="text1"/>
                <w:sz w:val="16"/>
                <w:szCs w:val="16"/>
                <w:lang w:val="en-US"/>
              </w:rPr>
              <w:t>Innexin</w:t>
            </w:r>
          </w:p>
          <w:p w14:paraId="116A7D6B" w14:textId="5E27816F" w:rsidR="002D7DE5" w:rsidRPr="002D7DE5" w:rsidRDefault="002D7DE5" w:rsidP="002D7DE5">
            <w:pPr>
              <w:autoSpaceDE w:val="0"/>
              <w:autoSpaceDN w:val="0"/>
              <w:adjustRightInd w:val="0"/>
              <w:jc w:val="center"/>
              <w:rPr>
                <w:rFonts w:ascii="Times" w:hAnsi="Times" w:cs="Calibri"/>
                <w:b/>
                <w:bCs/>
                <w:color w:val="000000" w:themeColor="text1"/>
                <w:sz w:val="16"/>
                <w:szCs w:val="16"/>
                <w:lang w:val="en-US"/>
              </w:rPr>
            </w:pPr>
            <w:r w:rsidRPr="002D7DE5">
              <w:rPr>
                <w:rFonts w:ascii="Times" w:hAnsi="Times" w:cs="Calibri"/>
                <w:b/>
                <w:bCs/>
                <w:color w:val="000000" w:themeColor="text1"/>
                <w:sz w:val="16"/>
                <w:szCs w:val="16"/>
                <w:lang w:val="en-US"/>
              </w:rPr>
              <w:t>ID</w:t>
            </w:r>
          </w:p>
        </w:tc>
        <w:tc>
          <w:tcPr>
            <w:tcW w:w="1134" w:type="dxa"/>
            <w:vMerge w:val="restart"/>
            <w:tcBorders>
              <w:left w:val="single" w:sz="6" w:space="0" w:color="auto"/>
              <w:right w:val="single" w:sz="6" w:space="0" w:color="auto"/>
            </w:tcBorders>
            <w:shd w:val="solid" w:color="FFFFFF" w:fill="auto"/>
            <w:vAlign w:val="center"/>
          </w:tcPr>
          <w:p w14:paraId="72120983" w14:textId="77777777" w:rsidR="002D7DE5" w:rsidRPr="002D7DE5" w:rsidRDefault="002D7DE5" w:rsidP="002D7DE5">
            <w:pPr>
              <w:autoSpaceDE w:val="0"/>
              <w:autoSpaceDN w:val="0"/>
              <w:adjustRightInd w:val="0"/>
              <w:jc w:val="center"/>
              <w:rPr>
                <w:rFonts w:ascii="Times" w:hAnsi="Times" w:cs="Calibri"/>
                <w:b/>
                <w:bCs/>
                <w:color w:val="000000" w:themeColor="text1"/>
                <w:sz w:val="16"/>
                <w:szCs w:val="16"/>
                <w:lang w:val="en-US"/>
              </w:rPr>
            </w:pPr>
            <w:r w:rsidRPr="002D7DE5">
              <w:rPr>
                <w:rFonts w:ascii="Times" w:hAnsi="Times" w:cs="Calibri"/>
                <w:b/>
                <w:bCs/>
                <w:color w:val="000000" w:themeColor="text1"/>
                <w:sz w:val="16"/>
                <w:szCs w:val="16"/>
                <w:lang w:val="en-US"/>
              </w:rPr>
              <w:t>Innexin</w:t>
            </w:r>
          </w:p>
          <w:p w14:paraId="3D5A2B6B" w14:textId="3903E332" w:rsidR="002D7DE5" w:rsidRPr="002D7DE5" w:rsidRDefault="002D7DE5" w:rsidP="002D7DE5">
            <w:pPr>
              <w:autoSpaceDE w:val="0"/>
              <w:autoSpaceDN w:val="0"/>
              <w:adjustRightInd w:val="0"/>
              <w:jc w:val="center"/>
              <w:rPr>
                <w:rFonts w:ascii="Times" w:hAnsi="Times" w:cs="Calibri"/>
                <w:b/>
                <w:bCs/>
                <w:color w:val="000000" w:themeColor="text1"/>
                <w:sz w:val="16"/>
                <w:szCs w:val="16"/>
                <w:lang w:val="en-US"/>
              </w:rPr>
            </w:pPr>
            <w:r w:rsidRPr="002D7DE5">
              <w:rPr>
                <w:rFonts w:ascii="Times" w:hAnsi="Times" w:cs="Calibri"/>
                <w:b/>
                <w:bCs/>
                <w:color w:val="000000" w:themeColor="text1"/>
                <w:sz w:val="16"/>
                <w:szCs w:val="16"/>
                <w:lang w:val="en-US"/>
              </w:rPr>
              <w:t>name</w:t>
            </w:r>
          </w:p>
        </w:tc>
        <w:tc>
          <w:tcPr>
            <w:tcW w:w="1077" w:type="dxa"/>
            <w:vMerge w:val="restart"/>
            <w:tcBorders>
              <w:left w:val="single" w:sz="6" w:space="0" w:color="auto"/>
              <w:right w:val="single" w:sz="6" w:space="0" w:color="auto"/>
            </w:tcBorders>
            <w:shd w:val="solid" w:color="FFFFFF" w:fill="auto"/>
            <w:vAlign w:val="center"/>
          </w:tcPr>
          <w:p w14:paraId="3E78FC09" w14:textId="09F9AA02" w:rsidR="002D7DE5" w:rsidRPr="002D7DE5" w:rsidRDefault="002D7DE5" w:rsidP="002D7DE5">
            <w:pPr>
              <w:autoSpaceDE w:val="0"/>
              <w:autoSpaceDN w:val="0"/>
              <w:adjustRightInd w:val="0"/>
              <w:jc w:val="center"/>
              <w:rPr>
                <w:rFonts w:ascii="Times" w:hAnsi="Times" w:cs="Calibri"/>
                <w:b/>
                <w:bCs/>
                <w:color w:val="000000" w:themeColor="text1"/>
                <w:sz w:val="16"/>
                <w:szCs w:val="16"/>
                <w:lang w:val="en-US"/>
              </w:rPr>
            </w:pPr>
            <w:r w:rsidRPr="002D7DE5">
              <w:rPr>
                <w:rFonts w:ascii="Times" w:hAnsi="Times" w:cs="Calibri"/>
                <w:b/>
                <w:bCs/>
                <w:color w:val="000000" w:themeColor="text1"/>
                <w:sz w:val="16"/>
                <w:szCs w:val="16"/>
                <w:lang w:val="en-US"/>
              </w:rPr>
              <w:t>Accession</w:t>
            </w:r>
          </w:p>
          <w:p w14:paraId="47406E87" w14:textId="4269A914" w:rsidR="002D7DE5" w:rsidRPr="002D7DE5" w:rsidRDefault="002D7DE5" w:rsidP="002D7DE5">
            <w:pPr>
              <w:autoSpaceDE w:val="0"/>
              <w:autoSpaceDN w:val="0"/>
              <w:adjustRightInd w:val="0"/>
              <w:jc w:val="center"/>
              <w:rPr>
                <w:rFonts w:ascii="Times" w:hAnsi="Times" w:cs="Calibri"/>
                <w:b/>
                <w:bCs/>
                <w:color w:val="000000" w:themeColor="text1"/>
                <w:sz w:val="16"/>
                <w:szCs w:val="16"/>
                <w:lang w:val="en-US"/>
              </w:rPr>
            </w:pPr>
            <w:r w:rsidRPr="002D7DE5">
              <w:rPr>
                <w:rFonts w:ascii="Times" w:hAnsi="Times" w:cs="Calibri"/>
                <w:b/>
                <w:bCs/>
                <w:color w:val="000000" w:themeColor="text1"/>
                <w:sz w:val="16"/>
                <w:szCs w:val="16"/>
                <w:lang w:val="en-US"/>
              </w:rPr>
              <w:t>ID</w:t>
            </w:r>
          </w:p>
        </w:tc>
        <w:tc>
          <w:tcPr>
            <w:tcW w:w="3451" w:type="dxa"/>
            <w:gridSpan w:val="4"/>
            <w:tcBorders>
              <w:left w:val="single" w:sz="6" w:space="0" w:color="auto"/>
              <w:right w:val="single" w:sz="6" w:space="0" w:color="auto"/>
            </w:tcBorders>
            <w:shd w:val="solid" w:color="FFFFFF" w:fill="auto"/>
            <w:vAlign w:val="center"/>
          </w:tcPr>
          <w:p w14:paraId="4477C03F" w14:textId="11ED7F45" w:rsidR="002D7DE5" w:rsidRDefault="002D7DE5" w:rsidP="001A2D31">
            <w:pPr>
              <w:autoSpaceDE w:val="0"/>
              <w:autoSpaceDN w:val="0"/>
              <w:adjustRightInd w:val="0"/>
              <w:jc w:val="center"/>
              <w:rPr>
                <w:rFonts w:ascii="Times" w:hAnsi="Times" w:cs="Calibri"/>
                <w:b/>
                <w:bCs/>
                <w:color w:val="000000" w:themeColor="text1"/>
                <w:sz w:val="16"/>
                <w:szCs w:val="16"/>
                <w:lang w:val="en-GB"/>
              </w:rPr>
            </w:pPr>
            <w:r>
              <w:rPr>
                <w:rFonts w:ascii="Times" w:hAnsi="Times" w:cs="Calibri"/>
                <w:b/>
                <w:bCs/>
                <w:color w:val="000000" w:themeColor="text1"/>
                <w:sz w:val="16"/>
                <w:szCs w:val="16"/>
                <w:lang w:val="en-GB"/>
              </w:rPr>
              <w:t>N-glycosylation site (NGS)</w:t>
            </w:r>
          </w:p>
        </w:tc>
        <w:tc>
          <w:tcPr>
            <w:tcW w:w="1701" w:type="dxa"/>
            <w:vMerge w:val="restart"/>
            <w:tcBorders>
              <w:left w:val="single" w:sz="6" w:space="0" w:color="auto"/>
              <w:right w:val="single" w:sz="6" w:space="0" w:color="auto"/>
            </w:tcBorders>
            <w:shd w:val="solid" w:color="FFFFFF" w:fill="auto"/>
            <w:vAlign w:val="center"/>
          </w:tcPr>
          <w:p w14:paraId="41170FD2" w14:textId="49FFF954" w:rsidR="002D7DE5" w:rsidRDefault="002D7DE5" w:rsidP="002D7DE5">
            <w:pPr>
              <w:autoSpaceDE w:val="0"/>
              <w:autoSpaceDN w:val="0"/>
              <w:adjustRightInd w:val="0"/>
              <w:jc w:val="center"/>
              <w:rPr>
                <w:rFonts w:ascii="Times" w:hAnsi="Times" w:cs="Calibri"/>
                <w:b/>
                <w:bCs/>
                <w:color w:val="000000" w:themeColor="text1"/>
                <w:sz w:val="16"/>
                <w:szCs w:val="16"/>
                <w:lang w:val="en-GB"/>
              </w:rPr>
            </w:pPr>
            <w:r>
              <w:rPr>
                <w:rFonts w:ascii="Times" w:hAnsi="Times" w:cs="Calibri"/>
                <w:b/>
                <w:bCs/>
                <w:color w:val="000000" w:themeColor="text1"/>
                <w:sz w:val="16"/>
                <w:szCs w:val="16"/>
                <w:lang w:val="en-GB"/>
              </w:rPr>
              <w:t>Experimental evidence for gap junction function</w:t>
            </w:r>
          </w:p>
        </w:tc>
      </w:tr>
      <w:tr w:rsidR="002D7DE5" w:rsidRPr="00AA1034" w14:paraId="1A96FEFF" w14:textId="349D2645" w:rsidTr="002D7DE5">
        <w:trPr>
          <w:trHeight w:val="368"/>
        </w:trPr>
        <w:tc>
          <w:tcPr>
            <w:tcW w:w="1275" w:type="dxa"/>
            <w:vMerge/>
            <w:tcBorders>
              <w:left w:val="single" w:sz="6" w:space="0" w:color="auto"/>
              <w:right w:val="single" w:sz="6" w:space="0" w:color="auto"/>
            </w:tcBorders>
            <w:shd w:val="solid" w:color="FFFFFF" w:fill="auto"/>
          </w:tcPr>
          <w:p w14:paraId="754D5952" w14:textId="4EBB8186" w:rsidR="002D7DE5" w:rsidRPr="002D7DE5" w:rsidRDefault="002D7DE5" w:rsidP="001A2D31">
            <w:pPr>
              <w:autoSpaceDE w:val="0"/>
              <w:autoSpaceDN w:val="0"/>
              <w:adjustRightInd w:val="0"/>
              <w:jc w:val="center"/>
              <w:rPr>
                <w:rFonts w:ascii="Times" w:hAnsi="Times" w:cs="Calibri"/>
                <w:b/>
                <w:bCs/>
                <w:color w:val="000000" w:themeColor="text1"/>
                <w:sz w:val="16"/>
                <w:szCs w:val="16"/>
                <w:lang w:val="en-US"/>
              </w:rPr>
            </w:pPr>
          </w:p>
        </w:tc>
        <w:tc>
          <w:tcPr>
            <w:tcW w:w="993" w:type="dxa"/>
            <w:vMerge/>
            <w:tcBorders>
              <w:left w:val="single" w:sz="6" w:space="0" w:color="auto"/>
              <w:right w:val="single" w:sz="6" w:space="0" w:color="auto"/>
            </w:tcBorders>
            <w:shd w:val="solid" w:color="FFFFFF" w:fill="auto"/>
          </w:tcPr>
          <w:p w14:paraId="110AF562" w14:textId="2612A017" w:rsidR="002D7DE5" w:rsidRPr="002D7DE5" w:rsidRDefault="002D7DE5" w:rsidP="001A2D31">
            <w:pPr>
              <w:autoSpaceDE w:val="0"/>
              <w:autoSpaceDN w:val="0"/>
              <w:adjustRightInd w:val="0"/>
              <w:jc w:val="center"/>
              <w:rPr>
                <w:rFonts w:ascii="Times" w:hAnsi="Times" w:cs="Calibri"/>
                <w:b/>
                <w:bCs/>
                <w:color w:val="000000" w:themeColor="text1"/>
                <w:sz w:val="16"/>
                <w:szCs w:val="16"/>
                <w:lang w:val="en-US"/>
              </w:rPr>
            </w:pPr>
          </w:p>
        </w:tc>
        <w:tc>
          <w:tcPr>
            <w:tcW w:w="1134" w:type="dxa"/>
            <w:vMerge/>
            <w:tcBorders>
              <w:left w:val="single" w:sz="6" w:space="0" w:color="auto"/>
              <w:right w:val="single" w:sz="6" w:space="0" w:color="auto"/>
            </w:tcBorders>
            <w:shd w:val="solid" w:color="FFFFFF" w:fill="auto"/>
          </w:tcPr>
          <w:p w14:paraId="33688FB5" w14:textId="7E007193" w:rsidR="002D7DE5" w:rsidRPr="002D7DE5" w:rsidRDefault="002D7DE5" w:rsidP="001A2D31">
            <w:pPr>
              <w:autoSpaceDE w:val="0"/>
              <w:autoSpaceDN w:val="0"/>
              <w:adjustRightInd w:val="0"/>
              <w:jc w:val="center"/>
              <w:rPr>
                <w:rFonts w:ascii="Times" w:hAnsi="Times" w:cs="Calibri"/>
                <w:b/>
                <w:bCs/>
                <w:color w:val="000000" w:themeColor="text1"/>
                <w:sz w:val="16"/>
                <w:szCs w:val="16"/>
                <w:lang w:val="en-US"/>
              </w:rPr>
            </w:pPr>
          </w:p>
        </w:tc>
        <w:tc>
          <w:tcPr>
            <w:tcW w:w="1077" w:type="dxa"/>
            <w:vMerge/>
            <w:tcBorders>
              <w:left w:val="single" w:sz="6" w:space="0" w:color="auto"/>
              <w:right w:val="single" w:sz="6" w:space="0" w:color="auto"/>
            </w:tcBorders>
            <w:shd w:val="solid" w:color="FFFFFF" w:fill="auto"/>
          </w:tcPr>
          <w:p w14:paraId="4D5DE267" w14:textId="777AD637" w:rsidR="002D7DE5" w:rsidRPr="002D7DE5" w:rsidRDefault="002D7DE5" w:rsidP="001A2D31">
            <w:pPr>
              <w:autoSpaceDE w:val="0"/>
              <w:autoSpaceDN w:val="0"/>
              <w:adjustRightInd w:val="0"/>
              <w:jc w:val="center"/>
              <w:rPr>
                <w:rFonts w:ascii="Times" w:hAnsi="Times" w:cs="Calibri"/>
                <w:b/>
                <w:bCs/>
                <w:color w:val="000000" w:themeColor="text1"/>
                <w:sz w:val="16"/>
                <w:szCs w:val="16"/>
                <w:lang w:val="en-US"/>
              </w:rPr>
            </w:pPr>
          </w:p>
        </w:tc>
        <w:tc>
          <w:tcPr>
            <w:tcW w:w="1020" w:type="dxa"/>
            <w:gridSpan w:val="2"/>
            <w:tcBorders>
              <w:left w:val="single" w:sz="6" w:space="0" w:color="auto"/>
              <w:right w:val="single" w:sz="6" w:space="0" w:color="auto"/>
            </w:tcBorders>
            <w:shd w:val="solid" w:color="FFFFFF" w:fill="auto"/>
            <w:vAlign w:val="center"/>
          </w:tcPr>
          <w:p w14:paraId="3176D515" w14:textId="77777777" w:rsidR="002D7DE5" w:rsidRPr="002D7DE5" w:rsidRDefault="002D7DE5" w:rsidP="002D7DE5">
            <w:pPr>
              <w:jc w:val="center"/>
              <w:rPr>
                <w:rFonts w:ascii="Times" w:hAnsi="Times" w:cs="Calibri"/>
                <w:b/>
                <w:bCs/>
                <w:color w:val="000000" w:themeColor="text1"/>
                <w:sz w:val="16"/>
                <w:szCs w:val="16"/>
                <w:lang w:val="en-US"/>
              </w:rPr>
            </w:pPr>
            <w:r w:rsidRPr="002D7DE5">
              <w:rPr>
                <w:rFonts w:ascii="Times" w:hAnsi="Times" w:cs="Calibri"/>
                <w:b/>
                <w:bCs/>
                <w:color w:val="000000" w:themeColor="text1"/>
                <w:sz w:val="16"/>
                <w:szCs w:val="16"/>
                <w:lang w:val="en-US"/>
              </w:rPr>
              <w:t>Position</w:t>
            </w:r>
          </w:p>
          <w:p w14:paraId="577E4063" w14:textId="1C45811C" w:rsidR="002D7DE5" w:rsidRPr="00945C7C" w:rsidRDefault="002D7DE5" w:rsidP="002D7DE5">
            <w:pPr>
              <w:jc w:val="center"/>
              <w:rPr>
                <w:rFonts w:ascii="Times" w:hAnsi="Times" w:cs="Calibri"/>
                <w:sz w:val="16"/>
                <w:szCs w:val="16"/>
                <w:lang w:val="en-US"/>
              </w:rPr>
            </w:pPr>
            <w:r w:rsidRPr="00803CA8">
              <w:rPr>
                <w:rFonts w:ascii="Times" w:hAnsi="Times" w:cs="Calibri"/>
                <w:b/>
                <w:bCs/>
                <w:sz w:val="16"/>
                <w:szCs w:val="16"/>
                <w:lang w:val="en-US"/>
              </w:rPr>
              <w:t>EL1      EL2</w:t>
            </w:r>
          </w:p>
        </w:tc>
        <w:tc>
          <w:tcPr>
            <w:tcW w:w="1587" w:type="dxa"/>
            <w:tcBorders>
              <w:left w:val="single" w:sz="6" w:space="0" w:color="auto"/>
              <w:right w:val="single" w:sz="6" w:space="0" w:color="auto"/>
            </w:tcBorders>
            <w:shd w:val="solid" w:color="FFFFFF" w:fill="auto"/>
            <w:vAlign w:val="center"/>
          </w:tcPr>
          <w:p w14:paraId="7C626FA1" w14:textId="22622124" w:rsidR="002D7DE5" w:rsidRPr="00803CA8" w:rsidRDefault="002D7DE5" w:rsidP="002D7DE5">
            <w:pPr>
              <w:autoSpaceDE w:val="0"/>
              <w:autoSpaceDN w:val="0"/>
              <w:adjustRightInd w:val="0"/>
              <w:jc w:val="center"/>
              <w:rPr>
                <w:rFonts w:ascii="Times" w:hAnsi="Times" w:cs="Calibri"/>
                <w:b/>
                <w:bCs/>
                <w:color w:val="000000" w:themeColor="text1"/>
                <w:sz w:val="16"/>
                <w:szCs w:val="16"/>
                <w:lang w:val="en-GB"/>
              </w:rPr>
            </w:pPr>
            <w:r>
              <w:rPr>
                <w:rFonts w:ascii="Times" w:hAnsi="Times" w:cs="Calibri"/>
                <w:b/>
                <w:bCs/>
                <w:color w:val="000000" w:themeColor="text1"/>
                <w:sz w:val="16"/>
                <w:szCs w:val="16"/>
                <w:lang w:val="en-GB"/>
              </w:rPr>
              <w:t>Amino acids around the NGS</w:t>
            </w:r>
          </w:p>
        </w:tc>
        <w:tc>
          <w:tcPr>
            <w:tcW w:w="844" w:type="dxa"/>
            <w:tcBorders>
              <w:left w:val="single" w:sz="6" w:space="0" w:color="auto"/>
              <w:right w:val="single" w:sz="6" w:space="0" w:color="auto"/>
            </w:tcBorders>
            <w:shd w:val="solid" w:color="FFFFFF" w:fill="auto"/>
            <w:vAlign w:val="center"/>
          </w:tcPr>
          <w:p w14:paraId="7BC8892B" w14:textId="7C08BD98" w:rsidR="002D7DE5" w:rsidRDefault="002D7DE5" w:rsidP="002D7DE5">
            <w:pPr>
              <w:autoSpaceDE w:val="0"/>
              <w:autoSpaceDN w:val="0"/>
              <w:adjustRightInd w:val="0"/>
              <w:jc w:val="center"/>
              <w:rPr>
                <w:rFonts w:ascii="Times" w:hAnsi="Times" w:cs="Calibri"/>
                <w:b/>
                <w:bCs/>
                <w:color w:val="000000" w:themeColor="text1"/>
                <w:sz w:val="16"/>
                <w:szCs w:val="16"/>
                <w:lang w:val="en-GB"/>
              </w:rPr>
            </w:pPr>
            <w:proofErr w:type="spellStart"/>
            <w:r>
              <w:rPr>
                <w:rFonts w:ascii="Times" w:hAnsi="Times" w:cs="Calibri"/>
                <w:b/>
                <w:bCs/>
                <w:color w:val="000000" w:themeColor="text1"/>
                <w:sz w:val="16"/>
                <w:szCs w:val="16"/>
                <w:lang w:val="en-GB"/>
              </w:rPr>
              <w:t>Potenital</w:t>
            </w:r>
            <w:proofErr w:type="spellEnd"/>
            <w:r>
              <w:rPr>
                <w:rFonts w:ascii="Times" w:hAnsi="Times" w:cs="Calibri"/>
                <w:b/>
                <w:bCs/>
                <w:color w:val="000000" w:themeColor="text1"/>
                <w:sz w:val="16"/>
                <w:szCs w:val="16"/>
                <w:lang w:val="en-GB"/>
              </w:rPr>
              <w:t xml:space="preserve"> score</w:t>
            </w:r>
          </w:p>
        </w:tc>
        <w:tc>
          <w:tcPr>
            <w:tcW w:w="1701" w:type="dxa"/>
            <w:vMerge/>
            <w:tcBorders>
              <w:left w:val="single" w:sz="6" w:space="0" w:color="auto"/>
              <w:right w:val="single" w:sz="6" w:space="0" w:color="auto"/>
            </w:tcBorders>
            <w:shd w:val="solid" w:color="FFFFFF" w:fill="auto"/>
          </w:tcPr>
          <w:p w14:paraId="0BD1F05F" w14:textId="7543EDA0" w:rsidR="002D7DE5" w:rsidRPr="00803CA8" w:rsidRDefault="002D7DE5" w:rsidP="001A2D31">
            <w:pPr>
              <w:autoSpaceDE w:val="0"/>
              <w:autoSpaceDN w:val="0"/>
              <w:adjustRightInd w:val="0"/>
              <w:jc w:val="center"/>
              <w:rPr>
                <w:rFonts w:ascii="Times" w:hAnsi="Times" w:cs="Calibri"/>
                <w:b/>
                <w:bCs/>
                <w:color w:val="000000" w:themeColor="text1"/>
                <w:sz w:val="16"/>
                <w:szCs w:val="16"/>
                <w:lang w:val="en-GB"/>
              </w:rPr>
            </w:pPr>
          </w:p>
        </w:tc>
      </w:tr>
      <w:tr w:rsidR="00696D15" w:rsidRPr="00AA1034" w14:paraId="24004FBE" w14:textId="6C2D1310" w:rsidTr="002D7DE5">
        <w:trPr>
          <w:trHeight w:val="57"/>
        </w:trPr>
        <w:tc>
          <w:tcPr>
            <w:tcW w:w="1275" w:type="dxa"/>
            <w:tcBorders>
              <w:top w:val="single" w:sz="4" w:space="0" w:color="auto"/>
              <w:bottom w:val="single" w:sz="4" w:space="0" w:color="auto"/>
            </w:tcBorders>
            <w:shd w:val="solid" w:color="FFFFFF" w:fill="auto"/>
          </w:tcPr>
          <w:p w14:paraId="6E713B0A" w14:textId="77777777" w:rsidR="00696D15" w:rsidRPr="00803CA8" w:rsidRDefault="00696D15" w:rsidP="001A2D31">
            <w:pPr>
              <w:autoSpaceDE w:val="0"/>
              <w:autoSpaceDN w:val="0"/>
              <w:adjustRightInd w:val="0"/>
              <w:rPr>
                <w:rFonts w:ascii="Times" w:hAnsi="Times" w:cs="Calibri"/>
                <w:i/>
                <w:iCs/>
                <w:color w:val="000000"/>
                <w:sz w:val="12"/>
                <w:szCs w:val="12"/>
                <w:lang w:val="en-GB"/>
              </w:rPr>
            </w:pPr>
          </w:p>
        </w:tc>
        <w:tc>
          <w:tcPr>
            <w:tcW w:w="993" w:type="dxa"/>
            <w:tcBorders>
              <w:top w:val="single" w:sz="4" w:space="0" w:color="auto"/>
              <w:bottom w:val="single" w:sz="4" w:space="0" w:color="auto"/>
            </w:tcBorders>
            <w:shd w:val="solid" w:color="FFFFFF" w:fill="auto"/>
          </w:tcPr>
          <w:p w14:paraId="02060B63" w14:textId="77777777" w:rsidR="00696D15" w:rsidRPr="00803CA8" w:rsidRDefault="00696D15" w:rsidP="001A2D31">
            <w:pPr>
              <w:autoSpaceDE w:val="0"/>
              <w:autoSpaceDN w:val="0"/>
              <w:adjustRightInd w:val="0"/>
              <w:rPr>
                <w:rFonts w:ascii="Times" w:hAnsi="Times" w:cs="Calibri"/>
                <w:color w:val="000000"/>
                <w:sz w:val="12"/>
                <w:szCs w:val="12"/>
                <w:lang w:val="en-GB"/>
              </w:rPr>
            </w:pPr>
          </w:p>
        </w:tc>
        <w:tc>
          <w:tcPr>
            <w:tcW w:w="1134" w:type="dxa"/>
            <w:tcBorders>
              <w:top w:val="single" w:sz="4" w:space="0" w:color="auto"/>
              <w:bottom w:val="single" w:sz="4" w:space="0" w:color="auto"/>
            </w:tcBorders>
            <w:shd w:val="solid" w:color="FFFFFF" w:fill="auto"/>
          </w:tcPr>
          <w:p w14:paraId="08F2E7F2" w14:textId="783E1DB1" w:rsidR="00696D15" w:rsidRPr="00803CA8" w:rsidRDefault="00696D15" w:rsidP="001A2D31">
            <w:pPr>
              <w:autoSpaceDE w:val="0"/>
              <w:autoSpaceDN w:val="0"/>
              <w:adjustRightInd w:val="0"/>
              <w:rPr>
                <w:rFonts w:ascii="Times" w:hAnsi="Times" w:cs="Calibri"/>
                <w:color w:val="000000"/>
                <w:sz w:val="12"/>
                <w:szCs w:val="12"/>
                <w:lang w:val="en-GB"/>
              </w:rPr>
            </w:pPr>
          </w:p>
        </w:tc>
        <w:tc>
          <w:tcPr>
            <w:tcW w:w="1077" w:type="dxa"/>
            <w:tcBorders>
              <w:top w:val="single" w:sz="4" w:space="0" w:color="auto"/>
              <w:bottom w:val="single" w:sz="4" w:space="0" w:color="auto"/>
            </w:tcBorders>
            <w:shd w:val="solid" w:color="FFFFFF" w:fill="auto"/>
          </w:tcPr>
          <w:p w14:paraId="69B8E562" w14:textId="77777777" w:rsidR="00696D15" w:rsidRPr="00803CA8" w:rsidRDefault="00696D15" w:rsidP="001A2D31">
            <w:pPr>
              <w:autoSpaceDE w:val="0"/>
              <w:autoSpaceDN w:val="0"/>
              <w:adjustRightInd w:val="0"/>
              <w:rPr>
                <w:rFonts w:ascii="Times" w:hAnsi="Times" w:cs="Calibri"/>
                <w:color w:val="000000" w:themeColor="text1"/>
                <w:sz w:val="12"/>
                <w:szCs w:val="12"/>
                <w:lang w:val="en-GB"/>
              </w:rPr>
            </w:pPr>
          </w:p>
        </w:tc>
        <w:tc>
          <w:tcPr>
            <w:tcW w:w="510" w:type="dxa"/>
            <w:tcBorders>
              <w:top w:val="single" w:sz="4" w:space="0" w:color="auto"/>
              <w:bottom w:val="single" w:sz="4" w:space="0" w:color="auto"/>
            </w:tcBorders>
            <w:shd w:val="solid" w:color="FFFFFF" w:fill="auto"/>
          </w:tcPr>
          <w:p w14:paraId="7544E2D3" w14:textId="77777777" w:rsidR="00696D15" w:rsidRPr="00803CA8" w:rsidRDefault="00696D15" w:rsidP="001A2D31">
            <w:pPr>
              <w:autoSpaceDE w:val="0"/>
              <w:autoSpaceDN w:val="0"/>
              <w:adjustRightInd w:val="0"/>
              <w:jc w:val="right"/>
              <w:rPr>
                <w:rFonts w:ascii="Times" w:hAnsi="Times" w:cs="Calibri"/>
                <w:color w:val="000000"/>
                <w:sz w:val="12"/>
                <w:szCs w:val="12"/>
                <w:lang w:val="en-GB"/>
              </w:rPr>
            </w:pPr>
          </w:p>
        </w:tc>
        <w:tc>
          <w:tcPr>
            <w:tcW w:w="510" w:type="dxa"/>
            <w:tcBorders>
              <w:top w:val="single" w:sz="4" w:space="0" w:color="auto"/>
              <w:bottom w:val="single" w:sz="4" w:space="0" w:color="auto"/>
            </w:tcBorders>
            <w:shd w:val="solid" w:color="FFFFFF" w:fill="auto"/>
          </w:tcPr>
          <w:p w14:paraId="6EBEAD03" w14:textId="77777777" w:rsidR="00696D15" w:rsidRPr="00803CA8" w:rsidRDefault="00696D15" w:rsidP="001A2D31">
            <w:pPr>
              <w:autoSpaceDE w:val="0"/>
              <w:autoSpaceDN w:val="0"/>
              <w:adjustRightInd w:val="0"/>
              <w:rPr>
                <w:rFonts w:ascii="Times" w:hAnsi="Times" w:cs="Calibri"/>
                <w:color w:val="000000"/>
                <w:sz w:val="12"/>
                <w:szCs w:val="12"/>
                <w:lang w:val="en-GB"/>
              </w:rPr>
            </w:pPr>
          </w:p>
        </w:tc>
        <w:tc>
          <w:tcPr>
            <w:tcW w:w="1587" w:type="dxa"/>
            <w:tcBorders>
              <w:top w:val="single" w:sz="4" w:space="0" w:color="auto"/>
              <w:bottom w:val="single" w:sz="4" w:space="0" w:color="auto"/>
            </w:tcBorders>
            <w:shd w:val="solid" w:color="FFFFFF" w:fill="auto"/>
          </w:tcPr>
          <w:p w14:paraId="1F0AD15C" w14:textId="77777777" w:rsidR="00696D15" w:rsidRPr="00803CA8" w:rsidRDefault="00696D15" w:rsidP="001A2D31">
            <w:pPr>
              <w:autoSpaceDE w:val="0"/>
              <w:autoSpaceDN w:val="0"/>
              <w:adjustRightInd w:val="0"/>
              <w:rPr>
                <w:rFonts w:ascii="Times" w:hAnsi="Times" w:cs="Calibri"/>
                <w:color w:val="000000"/>
                <w:sz w:val="12"/>
                <w:szCs w:val="12"/>
                <w:lang w:val="en-GB"/>
              </w:rPr>
            </w:pPr>
          </w:p>
        </w:tc>
        <w:tc>
          <w:tcPr>
            <w:tcW w:w="844" w:type="dxa"/>
            <w:tcBorders>
              <w:top w:val="single" w:sz="4" w:space="0" w:color="auto"/>
              <w:bottom w:val="single" w:sz="4" w:space="0" w:color="auto"/>
            </w:tcBorders>
            <w:shd w:val="solid" w:color="FFFFFF" w:fill="auto"/>
          </w:tcPr>
          <w:p w14:paraId="490289BE" w14:textId="77777777" w:rsidR="00696D15" w:rsidRPr="00803CA8" w:rsidRDefault="00696D15" w:rsidP="001A2D31">
            <w:pPr>
              <w:autoSpaceDE w:val="0"/>
              <w:autoSpaceDN w:val="0"/>
              <w:adjustRightInd w:val="0"/>
              <w:rPr>
                <w:rFonts w:ascii="Times" w:hAnsi="Times" w:cs="Calibri"/>
                <w:color w:val="000000"/>
                <w:sz w:val="12"/>
                <w:szCs w:val="12"/>
                <w:lang w:val="en-GB"/>
              </w:rPr>
            </w:pPr>
          </w:p>
        </w:tc>
        <w:tc>
          <w:tcPr>
            <w:tcW w:w="1701" w:type="dxa"/>
            <w:tcBorders>
              <w:top w:val="single" w:sz="4" w:space="0" w:color="auto"/>
              <w:bottom w:val="single" w:sz="4" w:space="0" w:color="auto"/>
            </w:tcBorders>
            <w:shd w:val="solid" w:color="FFFFFF" w:fill="auto"/>
          </w:tcPr>
          <w:p w14:paraId="4CA2BA3E" w14:textId="57433985" w:rsidR="00696D15" w:rsidRPr="00803CA8" w:rsidRDefault="00696D15" w:rsidP="001A2D31">
            <w:pPr>
              <w:autoSpaceDE w:val="0"/>
              <w:autoSpaceDN w:val="0"/>
              <w:adjustRightInd w:val="0"/>
              <w:rPr>
                <w:rFonts w:ascii="Times" w:hAnsi="Times" w:cs="Calibri"/>
                <w:color w:val="000000"/>
                <w:sz w:val="12"/>
                <w:szCs w:val="12"/>
                <w:lang w:val="en-GB"/>
              </w:rPr>
            </w:pPr>
          </w:p>
        </w:tc>
      </w:tr>
      <w:tr w:rsidR="00AA1034" w:rsidRPr="00AA1034" w14:paraId="1A89674B" w14:textId="19406624" w:rsidTr="002D7DE5">
        <w:trPr>
          <w:trHeight w:val="170"/>
        </w:trPr>
        <w:tc>
          <w:tcPr>
            <w:tcW w:w="1275" w:type="dxa"/>
            <w:tcBorders>
              <w:top w:val="single" w:sz="4" w:space="0" w:color="auto"/>
              <w:left w:val="single" w:sz="6" w:space="0" w:color="auto"/>
              <w:bottom w:val="single" w:sz="4" w:space="0" w:color="auto"/>
              <w:right w:val="single" w:sz="6" w:space="0" w:color="auto"/>
            </w:tcBorders>
            <w:shd w:val="solid" w:color="FFFFFF" w:fill="auto"/>
          </w:tcPr>
          <w:p w14:paraId="6D5EC8D5" w14:textId="19B416FC" w:rsidR="00696D15" w:rsidRPr="00AA1034" w:rsidRDefault="00696D15" w:rsidP="001A2D31">
            <w:pPr>
              <w:autoSpaceDE w:val="0"/>
              <w:autoSpaceDN w:val="0"/>
              <w:adjustRightInd w:val="0"/>
              <w:rPr>
                <w:rFonts w:ascii="Times" w:hAnsi="Times" w:cs="Calibri"/>
                <w:i/>
                <w:iCs/>
                <w:color w:val="000000" w:themeColor="text1"/>
                <w:sz w:val="16"/>
                <w:szCs w:val="16"/>
                <w:lang w:val="en-US"/>
              </w:rPr>
            </w:pPr>
            <w:r w:rsidRPr="00AA1034">
              <w:rPr>
                <w:rFonts w:ascii="Times" w:hAnsi="Times" w:cs="Calibri"/>
                <w:i/>
                <w:iCs/>
                <w:color w:val="000000" w:themeColor="text1"/>
                <w:sz w:val="16"/>
                <w:szCs w:val="16"/>
                <w:lang w:val="en-US"/>
              </w:rPr>
              <w:t>Hydra vulgaris</w:t>
            </w:r>
          </w:p>
        </w:tc>
        <w:tc>
          <w:tcPr>
            <w:tcW w:w="993" w:type="dxa"/>
            <w:tcBorders>
              <w:top w:val="single" w:sz="4" w:space="0" w:color="auto"/>
              <w:left w:val="single" w:sz="6" w:space="0" w:color="auto"/>
              <w:bottom w:val="single" w:sz="4" w:space="0" w:color="auto"/>
              <w:right w:val="single" w:sz="6" w:space="0" w:color="auto"/>
            </w:tcBorders>
            <w:shd w:val="solid" w:color="FFFFFF" w:fill="auto"/>
            <w:vAlign w:val="bottom"/>
          </w:tcPr>
          <w:p w14:paraId="4B27362D" w14:textId="50B192D3" w:rsidR="00696D15" w:rsidRPr="00AA1034" w:rsidRDefault="00696D15" w:rsidP="001A2D31">
            <w:pPr>
              <w:autoSpaceDE w:val="0"/>
              <w:autoSpaceDN w:val="0"/>
              <w:adjustRightInd w:val="0"/>
              <w:rPr>
                <w:rFonts w:ascii="Times" w:hAnsi="Times" w:cs="Calibri"/>
                <w:color w:val="000000" w:themeColor="text1"/>
                <w:sz w:val="16"/>
                <w:szCs w:val="16"/>
                <w:lang w:val="en-US"/>
              </w:rPr>
            </w:pPr>
            <w:r w:rsidRPr="00AA1034">
              <w:rPr>
                <w:rFonts w:ascii="Times" w:hAnsi="Times" w:cs="Calibri"/>
                <w:color w:val="000000" w:themeColor="text1"/>
                <w:sz w:val="16"/>
                <w:szCs w:val="16"/>
                <w:lang w:val="en-US"/>
              </w:rPr>
              <w:t>Cn_Hvu_11</w:t>
            </w:r>
          </w:p>
        </w:tc>
        <w:tc>
          <w:tcPr>
            <w:tcW w:w="1134" w:type="dxa"/>
            <w:tcBorders>
              <w:top w:val="single" w:sz="4" w:space="0" w:color="auto"/>
              <w:left w:val="single" w:sz="6" w:space="0" w:color="auto"/>
              <w:bottom w:val="single" w:sz="4" w:space="0" w:color="auto"/>
              <w:right w:val="single" w:sz="6" w:space="0" w:color="auto"/>
            </w:tcBorders>
            <w:shd w:val="solid" w:color="FFFFFF" w:fill="auto"/>
            <w:vAlign w:val="bottom"/>
          </w:tcPr>
          <w:p w14:paraId="684B8724" w14:textId="5B84931D" w:rsidR="00696D15" w:rsidRPr="00AA1034" w:rsidRDefault="00696D15" w:rsidP="001A2D31">
            <w:pPr>
              <w:autoSpaceDE w:val="0"/>
              <w:autoSpaceDN w:val="0"/>
              <w:adjustRightInd w:val="0"/>
              <w:rPr>
                <w:rFonts w:ascii="Times" w:hAnsi="Times" w:cs="Calibri"/>
                <w:color w:val="000000" w:themeColor="text1"/>
                <w:sz w:val="16"/>
                <w:szCs w:val="16"/>
                <w:lang w:val="en-US"/>
              </w:rPr>
            </w:pPr>
            <w:r w:rsidRPr="00AA1034">
              <w:rPr>
                <w:rFonts w:ascii="Times" w:hAnsi="Times" w:cs="Calibri"/>
                <w:color w:val="000000" w:themeColor="text1"/>
                <w:sz w:val="16"/>
                <w:szCs w:val="16"/>
                <w:lang w:val="en-US"/>
              </w:rPr>
              <w:t>Innexin-2</w:t>
            </w:r>
          </w:p>
        </w:tc>
        <w:tc>
          <w:tcPr>
            <w:tcW w:w="1077" w:type="dxa"/>
            <w:tcBorders>
              <w:top w:val="single" w:sz="4" w:space="0" w:color="auto"/>
              <w:left w:val="single" w:sz="6" w:space="0" w:color="auto"/>
              <w:bottom w:val="single" w:sz="4" w:space="0" w:color="auto"/>
              <w:right w:val="single" w:sz="6" w:space="0" w:color="auto"/>
            </w:tcBorders>
            <w:shd w:val="solid" w:color="FFFFFF" w:fill="auto"/>
            <w:vAlign w:val="bottom"/>
          </w:tcPr>
          <w:p w14:paraId="348C6258" w14:textId="52C91E41" w:rsidR="00696D15" w:rsidRPr="00AA1034" w:rsidRDefault="00696D15" w:rsidP="001A2D31">
            <w:pPr>
              <w:autoSpaceDE w:val="0"/>
              <w:autoSpaceDN w:val="0"/>
              <w:adjustRightInd w:val="0"/>
              <w:rPr>
                <w:rFonts w:ascii="Times" w:hAnsi="Times" w:cs="Calibri"/>
                <w:color w:val="000000" w:themeColor="text1"/>
                <w:sz w:val="16"/>
                <w:szCs w:val="16"/>
                <w:lang w:val="en-US"/>
              </w:rPr>
            </w:pPr>
            <w:r w:rsidRPr="00AA1034">
              <w:rPr>
                <w:rFonts w:ascii="Times" w:hAnsi="Times" w:cs="Calibri"/>
                <w:color w:val="000000" w:themeColor="text1"/>
                <w:sz w:val="16"/>
                <w:szCs w:val="16"/>
                <w:lang w:val="en-US"/>
              </w:rPr>
              <w:t>A0A5B8IE58</w:t>
            </w:r>
          </w:p>
        </w:tc>
        <w:tc>
          <w:tcPr>
            <w:tcW w:w="510" w:type="dxa"/>
            <w:tcBorders>
              <w:top w:val="single" w:sz="4" w:space="0" w:color="auto"/>
              <w:left w:val="single" w:sz="6" w:space="0" w:color="auto"/>
              <w:bottom w:val="single" w:sz="4" w:space="0" w:color="auto"/>
              <w:right w:val="single" w:sz="6" w:space="0" w:color="auto"/>
            </w:tcBorders>
            <w:shd w:val="solid" w:color="FFFFFF" w:fill="auto"/>
          </w:tcPr>
          <w:p w14:paraId="08A5A3E3" w14:textId="1140E6F6" w:rsidR="00696D15" w:rsidRPr="00AA1034" w:rsidRDefault="00696D15" w:rsidP="001A2D31">
            <w:pPr>
              <w:autoSpaceDE w:val="0"/>
              <w:autoSpaceDN w:val="0"/>
              <w:adjustRightInd w:val="0"/>
              <w:rPr>
                <w:rFonts w:ascii="Times" w:hAnsi="Times" w:cs="Calibri"/>
                <w:color w:val="000000" w:themeColor="text1"/>
                <w:sz w:val="16"/>
                <w:szCs w:val="16"/>
                <w:lang w:val="en-US"/>
              </w:rPr>
            </w:pPr>
            <w:r w:rsidRPr="00AA1034">
              <w:rPr>
                <w:rFonts w:ascii="Times" w:hAnsi="Times" w:cs="Calibri"/>
                <w:color w:val="000000" w:themeColor="text1"/>
                <w:sz w:val="16"/>
                <w:szCs w:val="16"/>
                <w:lang w:val="en-US"/>
              </w:rPr>
              <w:t>N60</w:t>
            </w:r>
          </w:p>
        </w:tc>
        <w:tc>
          <w:tcPr>
            <w:tcW w:w="510" w:type="dxa"/>
            <w:tcBorders>
              <w:top w:val="single" w:sz="4" w:space="0" w:color="auto"/>
              <w:left w:val="single" w:sz="6" w:space="0" w:color="auto"/>
              <w:bottom w:val="single" w:sz="4" w:space="0" w:color="auto"/>
              <w:right w:val="single" w:sz="6" w:space="0" w:color="auto"/>
            </w:tcBorders>
            <w:shd w:val="solid" w:color="FFFFFF" w:fill="auto"/>
          </w:tcPr>
          <w:p w14:paraId="558CEDBE" w14:textId="330E3A8B" w:rsidR="00696D15" w:rsidRPr="00AA1034" w:rsidRDefault="00696D15" w:rsidP="001A2D31">
            <w:pPr>
              <w:autoSpaceDE w:val="0"/>
              <w:autoSpaceDN w:val="0"/>
              <w:adjustRightInd w:val="0"/>
              <w:rPr>
                <w:rFonts w:ascii="Times" w:hAnsi="Times" w:cs="Calibri"/>
                <w:color w:val="000000" w:themeColor="text1"/>
                <w:sz w:val="16"/>
                <w:szCs w:val="16"/>
                <w:lang w:val="en-US"/>
              </w:rPr>
            </w:pPr>
          </w:p>
        </w:tc>
        <w:tc>
          <w:tcPr>
            <w:tcW w:w="1587" w:type="dxa"/>
            <w:tcBorders>
              <w:top w:val="single" w:sz="4" w:space="0" w:color="auto"/>
              <w:left w:val="single" w:sz="6" w:space="0" w:color="auto"/>
              <w:bottom w:val="single" w:sz="4" w:space="0" w:color="auto"/>
              <w:right w:val="single" w:sz="6" w:space="0" w:color="auto"/>
            </w:tcBorders>
            <w:shd w:val="solid" w:color="FFFFFF" w:fill="auto"/>
          </w:tcPr>
          <w:p w14:paraId="2FDE6D40" w14:textId="63C9C0AB" w:rsidR="00696D15" w:rsidRPr="00AA1034" w:rsidRDefault="00696D15" w:rsidP="0086171B">
            <w:pPr>
              <w:autoSpaceDE w:val="0"/>
              <w:autoSpaceDN w:val="0"/>
              <w:adjustRightInd w:val="0"/>
              <w:rPr>
                <w:rFonts w:ascii="Times" w:hAnsi="Times" w:cs="Calibri"/>
                <w:color w:val="000000" w:themeColor="text1"/>
                <w:sz w:val="16"/>
                <w:szCs w:val="16"/>
                <w:lang w:val="en-US"/>
              </w:rPr>
            </w:pPr>
            <w:r w:rsidRPr="00AA1034">
              <w:rPr>
                <w:rFonts w:ascii="Times" w:hAnsi="Times" w:cs="Calibri"/>
                <w:color w:val="000000" w:themeColor="text1"/>
                <w:sz w:val="16"/>
                <w:szCs w:val="16"/>
                <w:lang w:val="en-US"/>
              </w:rPr>
              <w:t>IPPGS</w:t>
            </w:r>
            <w:r w:rsidRPr="00AA1034">
              <w:rPr>
                <w:rFonts w:ascii="Times" w:hAnsi="Times" w:cs="Calibri"/>
                <w:color w:val="000000" w:themeColor="text1"/>
                <w:sz w:val="16"/>
                <w:szCs w:val="16"/>
                <w:u w:val="single"/>
                <w:lang w:val="en-US"/>
              </w:rPr>
              <w:t>NLS</w:t>
            </w:r>
            <w:r w:rsidRPr="00AA1034">
              <w:rPr>
                <w:rFonts w:ascii="Times" w:hAnsi="Times" w:cs="Calibri"/>
                <w:color w:val="000000" w:themeColor="text1"/>
                <w:sz w:val="16"/>
                <w:szCs w:val="16"/>
                <w:lang w:val="en-US"/>
              </w:rPr>
              <w:t>QDFVH</w:t>
            </w:r>
          </w:p>
        </w:tc>
        <w:tc>
          <w:tcPr>
            <w:tcW w:w="844" w:type="dxa"/>
            <w:tcBorders>
              <w:top w:val="single" w:sz="4" w:space="0" w:color="auto"/>
              <w:left w:val="single" w:sz="6" w:space="0" w:color="auto"/>
              <w:bottom w:val="single" w:sz="4" w:space="0" w:color="auto"/>
              <w:right w:val="single" w:sz="6" w:space="0" w:color="auto"/>
            </w:tcBorders>
            <w:shd w:val="solid" w:color="FFFFFF" w:fill="auto"/>
            <w:vAlign w:val="center"/>
          </w:tcPr>
          <w:p w14:paraId="063CD6EA" w14:textId="0F9695CA" w:rsidR="00696D15" w:rsidRPr="00AA1034" w:rsidRDefault="00696D15" w:rsidP="00696D15">
            <w:pPr>
              <w:tabs>
                <w:tab w:val="left" w:pos="1365"/>
              </w:tabs>
              <w:autoSpaceDE w:val="0"/>
              <w:autoSpaceDN w:val="0"/>
              <w:adjustRightInd w:val="0"/>
              <w:jc w:val="center"/>
              <w:rPr>
                <w:rFonts w:ascii="Times" w:hAnsi="Times" w:cs="Calibri"/>
                <w:color w:val="000000" w:themeColor="text1"/>
                <w:sz w:val="16"/>
                <w:szCs w:val="16"/>
                <w:lang w:val="en-US"/>
              </w:rPr>
            </w:pPr>
            <w:r w:rsidRPr="00AA1034">
              <w:rPr>
                <w:rFonts w:ascii="Times" w:hAnsi="Times" w:cs="Calibri"/>
                <w:color w:val="000000" w:themeColor="text1"/>
                <w:sz w:val="16"/>
                <w:szCs w:val="16"/>
                <w:lang w:val="en-US"/>
              </w:rPr>
              <w:t>0.7254</w:t>
            </w:r>
          </w:p>
        </w:tc>
        <w:tc>
          <w:tcPr>
            <w:tcW w:w="1701" w:type="dxa"/>
            <w:tcBorders>
              <w:top w:val="single" w:sz="4" w:space="0" w:color="auto"/>
              <w:left w:val="single" w:sz="6" w:space="0" w:color="auto"/>
              <w:bottom w:val="single" w:sz="4" w:space="0" w:color="auto"/>
              <w:right w:val="single" w:sz="6" w:space="0" w:color="auto"/>
            </w:tcBorders>
            <w:shd w:val="solid" w:color="FFFFFF" w:fill="auto"/>
          </w:tcPr>
          <w:p w14:paraId="4F718C85" w14:textId="016B237B" w:rsidR="00696D15" w:rsidRPr="00AA1034" w:rsidRDefault="00696D15" w:rsidP="001A2D31">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fldChar w:fldCharType="begin" w:fldLock="1"/>
            </w:r>
            <w:r w:rsidRPr="00AA1034">
              <w:rPr>
                <w:rFonts w:ascii="Times" w:hAnsi="Times" w:cs="Calibri"/>
                <w:color w:val="000000" w:themeColor="text1"/>
                <w:sz w:val="16"/>
                <w:szCs w:val="16"/>
                <w:lang w:val="en-US"/>
              </w:rPr>
              <w:instrText>ADDIN CSL_CITATION {"citationItems":[{"id":"ITEM-1","itemData":{"DOI":"10.1038/srep03573","ISSN":"2045-2322","PMID":"24394722","abstract":"Nerve cells and spontaneous coordinated behavior first appeared near the base of animal evolution in the common ancestor of cnidarians and bilaterians. Experiments on the cnidarian Hydra have demonstrated that nerve cells are essential for this behavior, although nerve cells in Hydra are organized in a diffuse network and do not form ganglia. Here we show that the gap junction protein innexin-2 is expressed in a small group of nerve cells in the lower body column of Hydra and that an anti-innexin-2 antibody binds to gap junctions in the same region. Treatment of live animals with innexin-2 antibody eliminates gap junction staining and reduces spontaneous body column contractions. We conclude that a small subset of nerve cells, connected by gap junctions and capable of synchronous firing, act as a pacemaker to coordinate the contraction of the body column in the absence of ganglia.","author":[{"dropping-particle":"","family":"Takaku","given":"Yasuharu","non-dropping-particle":"","parse-names":false,"suffix":""},{"dropping-particle":"","family":"Hwang",</w:instrText>
            </w:r>
            <w:r w:rsidRPr="00AA1034">
              <w:rPr>
                <w:rFonts w:ascii="Times" w:hAnsi="Times" w:cs="Calibri"/>
                <w:color w:val="000000" w:themeColor="text1"/>
                <w:sz w:val="16"/>
                <w:szCs w:val="16"/>
              </w:rPr>
              <w:instrText>"given":"Jung Shan","non-dropping-particle":"","parse-names":false,"suffix":""},{"dropping-particle":"","family":"Wolf","given":"Alexander","non-dropping-particle":"","parse-names":false,"suffix":""},{"dropping-particle":"","family":"Böttger","given":"Angelika","non-dropping-particle":"","parse-names":false,"suffix":""},{"dropping-particle":"","family":"Shimizu","given":"Hiroshi","non-dropping-particle":"","parse-names":false,"suffix":""},{"dropping-particle":"","family":"David","given":"Charles N.","non-dropping-particle":"","parse-names":false,"suffix":""},{"dropping-particle":"","family":"Gojobori","given":"Takashi","non-dropping-particle":"","parse-names":false,"suffix":""}],"container-title":"Scientific Reports","id":"ITEM-1","issue":"1","issued":{"date-parts":[["2014","12","17"]]},"page":"3573","publisher":"Sci Rep","title":"Innexin gap junctions in nerve cells coordinate spontaneous contractile behavior in Hydra polyps","type":"article-journal","volume":"4"},"uris":["http://www.mendeley.com/documents/?uuid=108f8e82-376a-3ed7-a5b3-50bdde88b2a2"]}],"mendeley":{"formattedCitation":"(Takaku et al., 2014)","plainTextFormattedCitation":"(Takaku et al., 2014)","previouslyFormattedCitation":"(Takaku et al., 2014)"},"properties":{"noteIndex":0},"schema":"https://github.com/citation-style-language/schema/raw/master/csl-citation.json"}</w:instrText>
            </w:r>
            <w:r w:rsidRPr="00AA1034">
              <w:rPr>
                <w:rFonts w:ascii="Times" w:hAnsi="Times" w:cs="Calibri"/>
                <w:color w:val="000000" w:themeColor="text1"/>
                <w:sz w:val="16"/>
                <w:szCs w:val="16"/>
              </w:rPr>
              <w:fldChar w:fldCharType="separate"/>
            </w:r>
            <w:r w:rsidRPr="00AA1034">
              <w:rPr>
                <w:rFonts w:ascii="Times" w:hAnsi="Times" w:cs="Calibri"/>
                <w:noProof/>
                <w:color w:val="000000" w:themeColor="text1"/>
                <w:sz w:val="16"/>
                <w:szCs w:val="16"/>
              </w:rPr>
              <w:t>(Takaku et al., 2014)</w:t>
            </w:r>
            <w:r w:rsidRPr="00AA1034">
              <w:rPr>
                <w:rFonts w:ascii="Times" w:hAnsi="Times" w:cs="Calibri"/>
                <w:color w:val="000000" w:themeColor="text1"/>
                <w:sz w:val="16"/>
                <w:szCs w:val="16"/>
              </w:rPr>
              <w:fldChar w:fldCharType="end"/>
            </w:r>
          </w:p>
        </w:tc>
      </w:tr>
    </w:tbl>
    <w:p w14:paraId="78771F0F" w14:textId="1589785A" w:rsidR="00990463" w:rsidRPr="00AA1034" w:rsidRDefault="00990463" w:rsidP="00BB45A5">
      <w:pPr>
        <w:rPr>
          <w:color w:val="000000" w:themeColor="text1"/>
        </w:rPr>
      </w:pPr>
    </w:p>
    <w:tbl>
      <w:tblPr>
        <w:tblW w:w="9639" w:type="dxa"/>
        <w:tblInd w:w="-8" w:type="dxa"/>
        <w:tblLayout w:type="fixed"/>
        <w:tblCellMar>
          <w:left w:w="70" w:type="dxa"/>
          <w:right w:w="70" w:type="dxa"/>
        </w:tblCellMar>
        <w:tblLook w:val="0000" w:firstRow="0" w:lastRow="0" w:firstColumn="0" w:lastColumn="0" w:noHBand="0" w:noVBand="0"/>
      </w:tblPr>
      <w:tblGrid>
        <w:gridCol w:w="1275"/>
        <w:gridCol w:w="993"/>
        <w:gridCol w:w="1134"/>
        <w:gridCol w:w="1077"/>
        <w:gridCol w:w="510"/>
        <w:gridCol w:w="510"/>
        <w:gridCol w:w="1587"/>
        <w:gridCol w:w="852"/>
        <w:gridCol w:w="1701"/>
      </w:tblGrid>
      <w:tr w:rsidR="00AA1034" w:rsidRPr="00AA1034" w14:paraId="3E34EAE2" w14:textId="77777777" w:rsidTr="002D7DE5">
        <w:trPr>
          <w:trHeight w:val="170"/>
        </w:trPr>
        <w:tc>
          <w:tcPr>
            <w:tcW w:w="1275" w:type="dxa"/>
            <w:tcBorders>
              <w:top w:val="single" w:sz="6" w:space="0" w:color="auto"/>
              <w:left w:val="single" w:sz="6" w:space="0" w:color="auto"/>
              <w:bottom w:val="single" w:sz="4" w:space="0" w:color="auto"/>
              <w:right w:val="single" w:sz="6" w:space="0" w:color="auto"/>
            </w:tcBorders>
            <w:shd w:val="solid" w:color="FFFFFF" w:fill="auto"/>
            <w:vAlign w:val="center"/>
          </w:tcPr>
          <w:p w14:paraId="67EEB5B8" w14:textId="77777777" w:rsidR="00696D15" w:rsidRPr="00AA1034" w:rsidRDefault="00696D15" w:rsidP="00803CA8">
            <w:pPr>
              <w:autoSpaceDE w:val="0"/>
              <w:autoSpaceDN w:val="0"/>
              <w:adjustRightInd w:val="0"/>
              <w:rPr>
                <w:rFonts w:ascii="Times" w:hAnsi="Times" w:cs="Calibri"/>
                <w:i/>
                <w:iCs/>
                <w:color w:val="000000" w:themeColor="text1"/>
                <w:sz w:val="16"/>
                <w:szCs w:val="16"/>
              </w:rPr>
            </w:pPr>
            <w:r w:rsidRPr="00AA1034">
              <w:rPr>
                <w:rFonts w:ascii="Times" w:hAnsi="Times" w:cs="Calibri"/>
                <w:i/>
                <w:iCs/>
                <w:color w:val="000000" w:themeColor="text1"/>
                <w:sz w:val="16"/>
                <w:szCs w:val="16"/>
              </w:rPr>
              <w:t xml:space="preserve">Hirudo </w:t>
            </w:r>
            <w:proofErr w:type="spellStart"/>
            <w:r w:rsidRPr="00AA1034">
              <w:rPr>
                <w:rFonts w:ascii="Times" w:hAnsi="Times" w:cs="Calibri"/>
                <w:i/>
                <w:iCs/>
                <w:color w:val="000000" w:themeColor="text1"/>
                <w:sz w:val="16"/>
                <w:szCs w:val="16"/>
              </w:rPr>
              <w:t>verbana</w:t>
            </w:r>
            <w:proofErr w:type="spellEnd"/>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14:paraId="4BBE4B0E" w14:textId="77777777" w:rsidR="00696D15" w:rsidRPr="00AA1034" w:rsidRDefault="00696D15" w:rsidP="00803CA8">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An_Hve_02</w:t>
            </w:r>
          </w:p>
        </w:tc>
        <w:tc>
          <w:tcPr>
            <w:tcW w:w="1134" w:type="dxa"/>
            <w:tcBorders>
              <w:top w:val="single" w:sz="6" w:space="0" w:color="auto"/>
              <w:left w:val="single" w:sz="6" w:space="0" w:color="auto"/>
              <w:bottom w:val="single" w:sz="6" w:space="0" w:color="auto"/>
              <w:right w:val="single" w:sz="6" w:space="0" w:color="auto"/>
            </w:tcBorders>
            <w:shd w:val="solid" w:color="FFFFFF" w:fill="auto"/>
            <w:vAlign w:val="center"/>
          </w:tcPr>
          <w:p w14:paraId="5E52318C" w14:textId="77777777" w:rsidR="00696D15" w:rsidRPr="00AA1034" w:rsidRDefault="00696D15" w:rsidP="00803CA8">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Innexin-6</w:t>
            </w:r>
          </w:p>
        </w:tc>
        <w:tc>
          <w:tcPr>
            <w:tcW w:w="1077" w:type="dxa"/>
            <w:tcBorders>
              <w:top w:val="single" w:sz="6" w:space="0" w:color="auto"/>
              <w:left w:val="single" w:sz="6" w:space="0" w:color="auto"/>
              <w:bottom w:val="single" w:sz="6" w:space="0" w:color="auto"/>
              <w:right w:val="single" w:sz="6" w:space="0" w:color="auto"/>
            </w:tcBorders>
            <w:shd w:val="solid" w:color="FFFFFF" w:fill="auto"/>
            <w:vAlign w:val="center"/>
          </w:tcPr>
          <w:p w14:paraId="1243C36B" w14:textId="77777777" w:rsidR="00696D15" w:rsidRPr="00AA1034" w:rsidRDefault="00696D15" w:rsidP="00803CA8">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H9C4Q4</w:t>
            </w:r>
          </w:p>
        </w:tc>
        <w:tc>
          <w:tcPr>
            <w:tcW w:w="510" w:type="dxa"/>
            <w:tcBorders>
              <w:top w:val="single" w:sz="6" w:space="0" w:color="auto"/>
              <w:left w:val="single" w:sz="6" w:space="0" w:color="auto"/>
              <w:bottom w:val="single" w:sz="6" w:space="0" w:color="auto"/>
              <w:right w:val="single" w:sz="6" w:space="0" w:color="auto"/>
            </w:tcBorders>
            <w:shd w:val="solid" w:color="FFFFFF" w:fill="auto"/>
          </w:tcPr>
          <w:p w14:paraId="4CACA781" w14:textId="77777777"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N78 N93</w:t>
            </w:r>
          </w:p>
        </w:tc>
        <w:tc>
          <w:tcPr>
            <w:tcW w:w="510" w:type="dxa"/>
            <w:tcBorders>
              <w:top w:val="single" w:sz="6" w:space="0" w:color="auto"/>
              <w:left w:val="single" w:sz="6" w:space="0" w:color="auto"/>
              <w:bottom w:val="single" w:sz="6" w:space="0" w:color="auto"/>
              <w:right w:val="single" w:sz="6" w:space="0" w:color="auto"/>
            </w:tcBorders>
            <w:shd w:val="solid" w:color="FFFFFF" w:fill="auto"/>
          </w:tcPr>
          <w:p w14:paraId="16A2CC38" w14:textId="77777777" w:rsidR="00696D15" w:rsidRPr="00AA1034" w:rsidRDefault="00696D15" w:rsidP="00BB45A5">
            <w:pPr>
              <w:autoSpaceDE w:val="0"/>
              <w:autoSpaceDN w:val="0"/>
              <w:adjustRightInd w:val="0"/>
              <w:rPr>
                <w:rFonts w:ascii="Times" w:hAnsi="Times" w:cs="Calibri"/>
                <w:color w:val="000000" w:themeColor="text1"/>
                <w:sz w:val="16"/>
                <w:szCs w:val="16"/>
              </w:rPr>
            </w:pPr>
          </w:p>
        </w:tc>
        <w:tc>
          <w:tcPr>
            <w:tcW w:w="1587" w:type="dxa"/>
            <w:tcBorders>
              <w:top w:val="single" w:sz="6" w:space="0" w:color="auto"/>
              <w:left w:val="single" w:sz="6" w:space="0" w:color="auto"/>
              <w:bottom w:val="single" w:sz="6" w:space="0" w:color="auto"/>
              <w:right w:val="single" w:sz="6" w:space="0" w:color="auto"/>
            </w:tcBorders>
            <w:shd w:val="solid" w:color="FFFFFF" w:fill="auto"/>
          </w:tcPr>
          <w:p w14:paraId="06019DEC" w14:textId="77777777"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SICWV</w:t>
            </w:r>
            <w:r w:rsidRPr="00AA1034">
              <w:rPr>
                <w:rFonts w:ascii="Times" w:hAnsi="Times" w:cs="Calibri"/>
                <w:color w:val="000000" w:themeColor="text1"/>
                <w:sz w:val="16"/>
                <w:szCs w:val="16"/>
                <w:u w:val="single"/>
              </w:rPr>
              <w:t>NGT</w:t>
            </w:r>
            <w:r w:rsidRPr="00AA1034">
              <w:rPr>
                <w:rFonts w:ascii="Times" w:hAnsi="Times" w:cs="Calibri"/>
                <w:color w:val="000000" w:themeColor="text1"/>
                <w:sz w:val="16"/>
                <w:szCs w:val="16"/>
              </w:rPr>
              <w:t>YYVPF</w:t>
            </w:r>
          </w:p>
          <w:p w14:paraId="50CEF392" w14:textId="58C46E54"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YLPLP</w:t>
            </w:r>
            <w:r w:rsidRPr="00AA1034">
              <w:rPr>
                <w:rFonts w:ascii="Times" w:hAnsi="Times" w:cs="Calibri"/>
                <w:color w:val="000000" w:themeColor="text1"/>
                <w:sz w:val="16"/>
                <w:szCs w:val="16"/>
                <w:u w:val="single"/>
              </w:rPr>
              <w:t>NQS</w:t>
            </w:r>
            <w:r w:rsidRPr="00AA1034">
              <w:rPr>
                <w:rFonts w:ascii="Times" w:hAnsi="Times" w:cs="Calibri"/>
                <w:color w:val="000000" w:themeColor="text1"/>
                <w:sz w:val="16"/>
                <w:szCs w:val="16"/>
              </w:rPr>
              <w:t>RTAIL</w:t>
            </w:r>
          </w:p>
        </w:tc>
        <w:tc>
          <w:tcPr>
            <w:tcW w:w="852" w:type="dxa"/>
            <w:tcBorders>
              <w:top w:val="single" w:sz="6" w:space="0" w:color="auto"/>
              <w:left w:val="single" w:sz="6" w:space="0" w:color="auto"/>
              <w:bottom w:val="single" w:sz="6" w:space="0" w:color="auto"/>
              <w:right w:val="single" w:sz="6" w:space="0" w:color="auto"/>
            </w:tcBorders>
            <w:shd w:val="solid" w:color="FFFFFF" w:fill="auto"/>
            <w:vAlign w:val="center"/>
          </w:tcPr>
          <w:p w14:paraId="65A2A240" w14:textId="77777777" w:rsidR="00696D15" w:rsidRPr="00AA1034" w:rsidRDefault="002D7DE5" w:rsidP="002D7DE5">
            <w:pPr>
              <w:autoSpaceDE w:val="0"/>
              <w:autoSpaceDN w:val="0"/>
              <w:adjustRightInd w:val="0"/>
              <w:jc w:val="center"/>
              <w:rPr>
                <w:rFonts w:ascii="Times" w:hAnsi="Times" w:cs="Calibri"/>
                <w:color w:val="000000" w:themeColor="text1"/>
                <w:sz w:val="16"/>
                <w:szCs w:val="16"/>
              </w:rPr>
            </w:pPr>
            <w:r w:rsidRPr="00AA1034">
              <w:rPr>
                <w:rFonts w:ascii="Times" w:hAnsi="Times" w:cs="Calibri"/>
                <w:color w:val="000000" w:themeColor="text1"/>
                <w:sz w:val="16"/>
                <w:szCs w:val="16"/>
              </w:rPr>
              <w:t>0.6874</w:t>
            </w:r>
          </w:p>
          <w:p w14:paraId="5F96C53F" w14:textId="1869085F" w:rsidR="002D7DE5" w:rsidRPr="00AA1034" w:rsidRDefault="002D7DE5" w:rsidP="002D7DE5">
            <w:pPr>
              <w:autoSpaceDE w:val="0"/>
              <w:autoSpaceDN w:val="0"/>
              <w:adjustRightInd w:val="0"/>
              <w:jc w:val="center"/>
              <w:rPr>
                <w:rFonts w:ascii="Times" w:hAnsi="Times" w:cs="Calibri"/>
                <w:color w:val="000000" w:themeColor="text1"/>
                <w:sz w:val="16"/>
                <w:szCs w:val="16"/>
              </w:rPr>
            </w:pPr>
            <w:r w:rsidRPr="00AA1034">
              <w:rPr>
                <w:rFonts w:ascii="Times" w:hAnsi="Times" w:cs="Calibri"/>
                <w:color w:val="000000" w:themeColor="text1"/>
                <w:sz w:val="16"/>
                <w:szCs w:val="16"/>
              </w:rPr>
              <w:t>0.7212</w:t>
            </w:r>
          </w:p>
        </w:tc>
        <w:tc>
          <w:tcPr>
            <w:tcW w:w="1701" w:type="dxa"/>
            <w:tcBorders>
              <w:top w:val="single" w:sz="6" w:space="0" w:color="auto"/>
              <w:left w:val="single" w:sz="6" w:space="0" w:color="auto"/>
              <w:bottom w:val="single" w:sz="6" w:space="0" w:color="auto"/>
              <w:right w:val="single" w:sz="6" w:space="0" w:color="auto"/>
            </w:tcBorders>
            <w:shd w:val="solid" w:color="FFFFFF" w:fill="auto"/>
            <w:vAlign w:val="center"/>
          </w:tcPr>
          <w:p w14:paraId="7E813756" w14:textId="3F4BF22F" w:rsidR="00696D15" w:rsidRPr="00AA1034" w:rsidRDefault="00696D15" w:rsidP="00803CA8">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fldChar w:fldCharType="begin" w:fldLock="1"/>
            </w:r>
            <w:r w:rsidRPr="00AA1034">
              <w:rPr>
                <w:rFonts w:ascii="Times" w:hAnsi="Times" w:cs="Calibri"/>
                <w:color w:val="000000" w:themeColor="text1"/>
                <w:sz w:val="16"/>
                <w:szCs w:val="16"/>
              </w:rPr>
              <w:instrText>ADDIN CSL_CITATION {"citationItems":[{"id":"ITEM-1","itemData":{"DOI":"10.1523/JNEUROSCI.2693-12.2012","ISSN":"0270-6474","PMID":"23055495","abstract":"Fifteen of the 21 innexin (Inx) genes ( Hve-inx ) found in the genome of the medicinal leech, Hirudo verbana , are expressed in the CNS ([Kandarian et al., 2012][1]). Two are expressed pan-neuronally, while the others are restricted in their expression to small numbers of cells, in some cases reflecting the membership of known networks of electrically coupled and dye-coupled neurons or glial cells. We report here that when Hve-inx genes characteristic of discrete coupled networks were expressed ectopically in neurons known not to express them, the experimental cells were found to become dye coupled with the other cells in that network. Hve-inx6 is normally expressed by only three neurons in each ganglion, which form strongly dye-coupled electrical connections with each other \\[Shortening-Coupling interneuron (S-CI) network\\] ([Muller and Scott, 1981][2]; [Dykes and Macagno, 2006][3]). But when Hve-inx6 was ectopically expressed in a variety of central embryonic neurons, those cells became dye coupled with the S-CI network. Similarly, Hve-inx2 is normally uniquely expressed by the ganglion's large glial cells, but when it was ectopically expressed in different central neurons, they became dye coupled to the glial cells. In contrast, overexpression of the pan-neuronal Inx genes Hve-inx1 and Hve-inx14 did not yield any novel instances of dye coupling to pre-existent neuronal networks. These results reveal that expression of certain innexins is sufficient to couple individual neurons to pre-existing networks in the CNS. We propose that a primary determinant of selective neuronal connectivity and circuit formation in the leech is the surface expression of unique subsets of gap junctional proteins. [1]: #ref-16 [2]: #ref-24 [3]: #ref-11","author":[{"dropping-particle":"","family":"Firme","given":"Constantine P.","non-dropping-particle":"","parse-names":false,"suffix":""},{"dropping-particle":"","family":"Natan","given":"Ryan G.","non-dropping-particle":"","parse-names":false,"suffix":""},{"dropping-particle":"","family":"Yazdani","given":"Neema","non-dropping-particle":"","parse-names":false,"suffix":""},{"dropping-particle":"","family":"Macagno","given":"Eduardo R.","non-dropping-particle":"","parse-names":false,"suffix":""},{"dropping-particle":"","family":"Baker","given":"Michael W.","non-dropping-particle":"","parse-names":false,"suffix":""}],"container-title":"Journal of Neuroscience","id":"ITEM-1","issue":"41","issued":{"date-parts":[["2012","10","10"]]},"page":"14265-14270","publisher":"Society for Neuroscience","title":"Ectopic expression of select innexins in individual central neurons couples them to pre-existing neuronal or glial networks that express the same innexin","type":"article-journal","volume":"32"},"uris":["http://www.mendeley.com/documents/?uuid=7abc7027-8739-3ffe-a4a8-be91b17a6bfe"]}],"mendeley":{"formattedCitation":"(Firme et al., 2012)","plainTextFormattedCitation":"(Firme et al., 2012)","previouslyFormattedCitation":"(Firme et al., 2012)"},"properties":{"noteIndex":0},"schema":"https://github.com/citation-style-language/schema/raw/master/csl-citation.json"}</w:instrText>
            </w:r>
            <w:r w:rsidRPr="00AA1034">
              <w:rPr>
                <w:rFonts w:ascii="Times" w:hAnsi="Times" w:cs="Calibri"/>
                <w:color w:val="000000" w:themeColor="text1"/>
                <w:sz w:val="16"/>
                <w:szCs w:val="16"/>
              </w:rPr>
              <w:fldChar w:fldCharType="separate"/>
            </w:r>
            <w:r w:rsidRPr="00AA1034">
              <w:rPr>
                <w:rFonts w:ascii="Times" w:hAnsi="Times" w:cs="Calibri"/>
                <w:noProof/>
                <w:color w:val="000000" w:themeColor="text1"/>
                <w:sz w:val="16"/>
                <w:szCs w:val="16"/>
              </w:rPr>
              <w:t>(Firme et al., 2012)</w:t>
            </w:r>
            <w:r w:rsidRPr="00AA1034">
              <w:rPr>
                <w:rFonts w:ascii="Times" w:hAnsi="Times" w:cs="Calibri"/>
                <w:color w:val="000000" w:themeColor="text1"/>
                <w:sz w:val="16"/>
                <w:szCs w:val="16"/>
              </w:rPr>
              <w:fldChar w:fldCharType="end"/>
            </w:r>
          </w:p>
        </w:tc>
      </w:tr>
    </w:tbl>
    <w:p w14:paraId="5A09E2B5" w14:textId="484B2EA4" w:rsidR="00990463" w:rsidRPr="00AA1034" w:rsidRDefault="00990463" w:rsidP="00BB45A5">
      <w:pPr>
        <w:rPr>
          <w:color w:val="000000" w:themeColor="text1"/>
        </w:rPr>
      </w:pPr>
    </w:p>
    <w:tbl>
      <w:tblPr>
        <w:tblW w:w="9639" w:type="dxa"/>
        <w:tblInd w:w="-8" w:type="dxa"/>
        <w:tblLayout w:type="fixed"/>
        <w:tblCellMar>
          <w:left w:w="70" w:type="dxa"/>
          <w:right w:w="70" w:type="dxa"/>
        </w:tblCellMar>
        <w:tblLook w:val="0000" w:firstRow="0" w:lastRow="0" w:firstColumn="0" w:lastColumn="0" w:noHBand="0" w:noVBand="0"/>
      </w:tblPr>
      <w:tblGrid>
        <w:gridCol w:w="1275"/>
        <w:gridCol w:w="993"/>
        <w:gridCol w:w="1134"/>
        <w:gridCol w:w="1077"/>
        <w:gridCol w:w="510"/>
        <w:gridCol w:w="510"/>
        <w:gridCol w:w="1587"/>
        <w:gridCol w:w="852"/>
        <w:gridCol w:w="1701"/>
      </w:tblGrid>
      <w:tr w:rsidR="00AA1034" w:rsidRPr="00AA1034" w14:paraId="221A2828" w14:textId="77777777" w:rsidTr="002D7DE5">
        <w:trPr>
          <w:trHeight w:val="170"/>
        </w:trPr>
        <w:tc>
          <w:tcPr>
            <w:tcW w:w="1275" w:type="dxa"/>
            <w:vMerge w:val="restart"/>
            <w:tcBorders>
              <w:top w:val="single" w:sz="4" w:space="0" w:color="auto"/>
              <w:left w:val="single" w:sz="6" w:space="0" w:color="auto"/>
              <w:right w:val="single" w:sz="6" w:space="0" w:color="auto"/>
            </w:tcBorders>
            <w:shd w:val="solid" w:color="FFFFFF" w:fill="auto"/>
            <w:vAlign w:val="center"/>
          </w:tcPr>
          <w:p w14:paraId="6883DEB3" w14:textId="2803DE21" w:rsidR="00696D15" w:rsidRPr="00AA1034" w:rsidRDefault="00696D15" w:rsidP="00B155D6">
            <w:pPr>
              <w:autoSpaceDE w:val="0"/>
              <w:autoSpaceDN w:val="0"/>
              <w:adjustRightInd w:val="0"/>
              <w:rPr>
                <w:rFonts w:ascii="Times" w:hAnsi="Times" w:cs="Calibri"/>
                <w:i/>
                <w:iCs/>
                <w:color w:val="000000" w:themeColor="text1"/>
                <w:sz w:val="16"/>
                <w:szCs w:val="16"/>
              </w:rPr>
            </w:pPr>
            <w:proofErr w:type="spellStart"/>
            <w:r w:rsidRPr="00AA1034">
              <w:rPr>
                <w:rFonts w:ascii="Times" w:hAnsi="Times" w:cs="Calibri"/>
                <w:i/>
                <w:iCs/>
                <w:color w:val="000000" w:themeColor="text1"/>
                <w:sz w:val="16"/>
                <w:szCs w:val="16"/>
              </w:rPr>
              <w:t>Caenorhabditis</w:t>
            </w:r>
            <w:proofErr w:type="spellEnd"/>
            <w:r w:rsidRPr="00AA1034">
              <w:rPr>
                <w:rFonts w:ascii="Times" w:hAnsi="Times" w:cs="Calibri"/>
                <w:i/>
                <w:iCs/>
                <w:color w:val="000000" w:themeColor="text1"/>
                <w:sz w:val="16"/>
                <w:szCs w:val="16"/>
              </w:rPr>
              <w:t xml:space="preserve"> </w:t>
            </w:r>
            <w:proofErr w:type="spellStart"/>
            <w:r w:rsidRPr="00AA1034">
              <w:rPr>
                <w:rFonts w:ascii="Times" w:hAnsi="Times" w:cs="Calibri"/>
                <w:i/>
                <w:iCs/>
                <w:color w:val="000000" w:themeColor="text1"/>
                <w:sz w:val="16"/>
                <w:szCs w:val="16"/>
              </w:rPr>
              <w:t>elegans</w:t>
            </w:r>
            <w:proofErr w:type="spellEnd"/>
          </w:p>
        </w:tc>
        <w:tc>
          <w:tcPr>
            <w:tcW w:w="993" w:type="dxa"/>
            <w:tcBorders>
              <w:top w:val="single" w:sz="4" w:space="0" w:color="auto"/>
              <w:left w:val="single" w:sz="6" w:space="0" w:color="auto"/>
              <w:bottom w:val="single" w:sz="6" w:space="0" w:color="auto"/>
              <w:right w:val="single" w:sz="6" w:space="0" w:color="auto"/>
            </w:tcBorders>
            <w:shd w:val="solid" w:color="FFFFFF" w:fill="auto"/>
            <w:vAlign w:val="bottom"/>
          </w:tcPr>
          <w:p w14:paraId="260375B6" w14:textId="4965A38B"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Ne_Cel_01</w:t>
            </w:r>
          </w:p>
        </w:tc>
        <w:tc>
          <w:tcPr>
            <w:tcW w:w="1134" w:type="dxa"/>
            <w:tcBorders>
              <w:top w:val="single" w:sz="4" w:space="0" w:color="auto"/>
              <w:left w:val="single" w:sz="6" w:space="0" w:color="auto"/>
              <w:bottom w:val="single" w:sz="6" w:space="0" w:color="auto"/>
              <w:right w:val="single" w:sz="6" w:space="0" w:color="auto"/>
            </w:tcBorders>
            <w:shd w:val="solid" w:color="FFFFFF" w:fill="auto"/>
            <w:vAlign w:val="bottom"/>
          </w:tcPr>
          <w:p w14:paraId="6DC7842E" w14:textId="0735F9E5"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Innexin-10</w:t>
            </w:r>
          </w:p>
        </w:tc>
        <w:tc>
          <w:tcPr>
            <w:tcW w:w="1077" w:type="dxa"/>
            <w:tcBorders>
              <w:top w:val="single" w:sz="4" w:space="0" w:color="auto"/>
              <w:left w:val="single" w:sz="6" w:space="0" w:color="auto"/>
              <w:bottom w:val="single" w:sz="6" w:space="0" w:color="auto"/>
              <w:right w:val="single" w:sz="6" w:space="0" w:color="auto"/>
            </w:tcBorders>
            <w:shd w:val="solid" w:color="FFFFFF" w:fill="auto"/>
            <w:vAlign w:val="bottom"/>
          </w:tcPr>
          <w:p w14:paraId="1A26DA57" w14:textId="3EC2A3F1"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Q22549</w:t>
            </w:r>
          </w:p>
        </w:tc>
        <w:tc>
          <w:tcPr>
            <w:tcW w:w="510" w:type="dxa"/>
            <w:tcBorders>
              <w:top w:val="single" w:sz="4" w:space="0" w:color="auto"/>
              <w:left w:val="single" w:sz="6" w:space="0" w:color="auto"/>
              <w:bottom w:val="single" w:sz="6" w:space="0" w:color="auto"/>
              <w:right w:val="single" w:sz="6" w:space="0" w:color="auto"/>
            </w:tcBorders>
            <w:shd w:val="solid" w:color="FFFFFF" w:fill="auto"/>
          </w:tcPr>
          <w:p w14:paraId="5F92F85F" w14:textId="77777777" w:rsidR="00696D15" w:rsidRPr="00AA1034" w:rsidRDefault="00696D15" w:rsidP="00BB45A5">
            <w:pPr>
              <w:autoSpaceDE w:val="0"/>
              <w:autoSpaceDN w:val="0"/>
              <w:adjustRightInd w:val="0"/>
              <w:rPr>
                <w:rFonts w:ascii="Times" w:hAnsi="Times" w:cs="Calibri"/>
                <w:color w:val="000000" w:themeColor="text1"/>
                <w:sz w:val="16"/>
                <w:szCs w:val="16"/>
              </w:rPr>
            </w:pPr>
          </w:p>
        </w:tc>
        <w:tc>
          <w:tcPr>
            <w:tcW w:w="510" w:type="dxa"/>
            <w:tcBorders>
              <w:top w:val="single" w:sz="4" w:space="0" w:color="auto"/>
              <w:left w:val="single" w:sz="6" w:space="0" w:color="auto"/>
              <w:bottom w:val="single" w:sz="6" w:space="0" w:color="auto"/>
              <w:right w:val="single" w:sz="6" w:space="0" w:color="auto"/>
            </w:tcBorders>
            <w:shd w:val="solid" w:color="FFFFFF" w:fill="auto"/>
          </w:tcPr>
          <w:p w14:paraId="244F3A44" w14:textId="46491D13"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239</w:t>
            </w:r>
          </w:p>
        </w:tc>
        <w:tc>
          <w:tcPr>
            <w:tcW w:w="1587" w:type="dxa"/>
            <w:tcBorders>
              <w:top w:val="single" w:sz="4" w:space="0" w:color="auto"/>
              <w:left w:val="single" w:sz="6" w:space="0" w:color="auto"/>
              <w:bottom w:val="single" w:sz="6" w:space="0" w:color="auto"/>
              <w:right w:val="single" w:sz="6" w:space="0" w:color="auto"/>
            </w:tcBorders>
            <w:shd w:val="solid" w:color="FFFFFF" w:fill="auto"/>
          </w:tcPr>
          <w:p w14:paraId="037D7E15" w14:textId="08FB2F1F"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LVDLL</w:t>
            </w:r>
            <w:r w:rsidRPr="00AA1034">
              <w:rPr>
                <w:rFonts w:ascii="Times" w:hAnsi="Times" w:cs="Calibri"/>
                <w:color w:val="000000" w:themeColor="text1"/>
                <w:sz w:val="16"/>
                <w:szCs w:val="16"/>
                <w:u w:val="single"/>
              </w:rPr>
              <w:t>NGT</w:t>
            </w:r>
            <w:r w:rsidRPr="00AA1034">
              <w:rPr>
                <w:rFonts w:ascii="Times" w:hAnsi="Times" w:cs="Calibri"/>
                <w:color w:val="000000" w:themeColor="text1"/>
                <w:sz w:val="16"/>
                <w:szCs w:val="16"/>
              </w:rPr>
              <w:t>TWEQS</w:t>
            </w:r>
          </w:p>
        </w:tc>
        <w:tc>
          <w:tcPr>
            <w:tcW w:w="852" w:type="dxa"/>
            <w:tcBorders>
              <w:top w:val="single" w:sz="4" w:space="0" w:color="auto"/>
              <w:left w:val="single" w:sz="6" w:space="0" w:color="auto"/>
              <w:bottom w:val="single" w:sz="6" w:space="0" w:color="auto"/>
              <w:right w:val="single" w:sz="6" w:space="0" w:color="auto"/>
            </w:tcBorders>
            <w:shd w:val="solid" w:color="FFFFFF" w:fill="auto"/>
            <w:vAlign w:val="center"/>
          </w:tcPr>
          <w:p w14:paraId="78FD95A6" w14:textId="60EB4115" w:rsidR="00696D15" w:rsidRPr="00AA1034" w:rsidRDefault="002D7DE5" w:rsidP="002D7DE5">
            <w:pPr>
              <w:autoSpaceDE w:val="0"/>
              <w:autoSpaceDN w:val="0"/>
              <w:adjustRightInd w:val="0"/>
              <w:jc w:val="center"/>
              <w:rPr>
                <w:rFonts w:ascii="Times" w:hAnsi="Times" w:cs="Calibri"/>
                <w:color w:val="000000" w:themeColor="text1"/>
                <w:sz w:val="16"/>
                <w:szCs w:val="16"/>
              </w:rPr>
            </w:pPr>
            <w:r w:rsidRPr="00AA1034">
              <w:rPr>
                <w:rFonts w:ascii="Times" w:hAnsi="Times" w:cs="Calibri"/>
                <w:color w:val="000000" w:themeColor="text1"/>
                <w:sz w:val="16"/>
                <w:szCs w:val="16"/>
              </w:rPr>
              <w:t>0.5980</w:t>
            </w:r>
          </w:p>
        </w:tc>
        <w:tc>
          <w:tcPr>
            <w:tcW w:w="1701" w:type="dxa"/>
            <w:tcBorders>
              <w:top w:val="single" w:sz="4" w:space="0" w:color="auto"/>
              <w:left w:val="single" w:sz="6" w:space="0" w:color="auto"/>
              <w:bottom w:val="single" w:sz="6" w:space="0" w:color="auto"/>
              <w:right w:val="single" w:sz="6" w:space="0" w:color="auto"/>
            </w:tcBorders>
            <w:shd w:val="solid" w:color="FFFFFF" w:fill="auto"/>
          </w:tcPr>
          <w:p w14:paraId="0E7B0FCF" w14:textId="28FC7ABE"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fldChar w:fldCharType="begin" w:fldLock="1"/>
            </w:r>
            <w:r w:rsidRPr="00AA1034">
              <w:rPr>
                <w:rFonts w:ascii="Times" w:hAnsi="Times" w:cs="Calibri"/>
                <w:color w:val="000000" w:themeColor="text1"/>
                <w:sz w:val="16"/>
                <w:szCs w:val="16"/>
              </w:rPr>
              <w:instrText>ADDIN CSL_CITATION {"citationItems":[{"id":"ITEM-1","itemData":{"DOI":"10.1371/journal.pone.0076877","ISSN":"1932-6203","abstract":"C. elegans body-wall muscle cells are electrically coupled through gap junctions. Previous studies suggest that UNC-9 is an important, but not the only, innexin mediating the electrical coupling. Here we analyzed junctional current (Ij) for mutants of additional innexins to identify the remaining innexin(s) important to the coupling. The results suggest that a total of six innexins contribute to the coupling, including UNC-9, INX-1, INX-10, INX-11, INX-16, and INX-18. The Ij deficiency in each mutant was rescued completely by expressing the corresponding wild-type innexin specifically in muscle, suggesting that the innexins function cell-autonomously. Comparisons of Ij between various single, double, and triple mutants suggest that the six innexins probably form two distinct populations of gap junctions with one population consisting of UNC-9 and INX-18 and the other consisting of the remaining four innexins. Consistent with their roles in muscle electrical coupling, five of the six innexins showed punctate localization at muscle intercellular junctions when expressed as GFP- or epitope-tagged proteins, and muscle expression was detected for four of them when assessed by expressing GFP under the control of innexin promoters. The results may serve as a solid foundation for further explorations of structural and functional properties of gap junctions in C. elegans body-wall muscle.","author":[{"dropping-particle":"","family":"Liu","given":"Ping","non-dropping-particle":"","parse-names":false,"suffix":""},{"dropping-particle":"","family":"Chen","given":"Bojun","non-dropping-particle":"","parse-names":false,"suffix":""},{"dropping-particle":"","family":"Altun","given":"Zeynep F.","non-dropping-particle":"","parse-names":false,"suffix":""},{"dropping-particle":"","family":"Gross","given":"Maegan J.","non-dropping-particle":"","parse-names":false,"suffix":""},{"dropping-particle":"","family":"Shan","given":"Alan","non-dropping-particle":"","parse-names":false,"suffix":""},{"dropping-particle":"","family":"Schuman","given":"Benjamin","non-dropping-particle":"","parse-names":false,"suffix":""},{"dropping-particle":"","family":"Hall","given":"David H.","non-dropping-particle":"","parse-names":false,"suffix":""},{"dropping-particle":"","family":"Wang","given":"Zhao-Wen","non-dropping-particle":"","parse-names":false,"suffix":""}],"container-title":"PLoS ONE","editor":[{"dropping-particle":"","family":"Wang","given":"Xiaochen","non-dropping-particle":"","parse-names":false,"suffix":""}],"id":"ITEM-1","issue":"10","issued":{"date-parts":[["2013","10","9"]]},"page":"e76877","publisher":"Public Library of Science","title":"Six innexins contribute to electrical coupling of C. elegans body-wall muscle","type":"article-journal","volume":"8"},"uris":["http://www.mendeley.com/documents/?uuid=3439c163-4345-365f-903d-153526b563ef"]}],"mendeley":{"formattedCitation":"(Liu et al., 2013)","plainTextFormattedCitation":"(Liu et al., 2013)","previouslyFormattedCitation":"(Liu et al., 2013)"},"properties":{"noteIndex":0},"schema":"https://github.com/citation-style-language/schema/raw/master/csl-citation.json"}</w:instrText>
            </w:r>
            <w:r w:rsidRPr="00AA1034">
              <w:rPr>
                <w:rFonts w:ascii="Times" w:hAnsi="Times" w:cs="Calibri"/>
                <w:color w:val="000000" w:themeColor="text1"/>
                <w:sz w:val="16"/>
                <w:szCs w:val="16"/>
              </w:rPr>
              <w:fldChar w:fldCharType="separate"/>
            </w:r>
            <w:r w:rsidRPr="00AA1034">
              <w:rPr>
                <w:rFonts w:ascii="Times" w:hAnsi="Times" w:cs="Calibri"/>
                <w:noProof/>
                <w:color w:val="000000" w:themeColor="text1"/>
                <w:sz w:val="16"/>
                <w:szCs w:val="16"/>
              </w:rPr>
              <w:t>(Liu et al., 2013)</w:t>
            </w:r>
            <w:r w:rsidRPr="00AA1034">
              <w:rPr>
                <w:rFonts w:ascii="Times" w:hAnsi="Times" w:cs="Calibri"/>
                <w:color w:val="000000" w:themeColor="text1"/>
                <w:sz w:val="16"/>
                <w:szCs w:val="16"/>
              </w:rPr>
              <w:fldChar w:fldCharType="end"/>
            </w:r>
          </w:p>
        </w:tc>
      </w:tr>
      <w:tr w:rsidR="00AA1034" w:rsidRPr="00AA1034" w14:paraId="4B8586C5" w14:textId="77777777" w:rsidTr="002D7DE5">
        <w:trPr>
          <w:trHeight w:val="170"/>
        </w:trPr>
        <w:tc>
          <w:tcPr>
            <w:tcW w:w="1275" w:type="dxa"/>
            <w:vMerge/>
            <w:tcBorders>
              <w:left w:val="single" w:sz="6" w:space="0" w:color="auto"/>
              <w:right w:val="single" w:sz="6" w:space="0" w:color="auto"/>
            </w:tcBorders>
            <w:shd w:val="solid" w:color="FFFFFF" w:fill="auto"/>
          </w:tcPr>
          <w:p w14:paraId="1CE78769" w14:textId="77777777" w:rsidR="00696D15" w:rsidRPr="00AA1034" w:rsidRDefault="00696D15" w:rsidP="00BB45A5">
            <w:pPr>
              <w:autoSpaceDE w:val="0"/>
              <w:autoSpaceDN w:val="0"/>
              <w:adjustRightInd w:val="0"/>
              <w:rPr>
                <w:rFonts w:ascii="Times" w:hAnsi="Times" w:cs="Calibri"/>
                <w:i/>
                <w:iCs/>
                <w:color w:val="000000" w:themeColor="text1"/>
                <w:sz w:val="16"/>
                <w:szCs w:val="16"/>
              </w:rPr>
            </w:pP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79429883" w14:textId="55A79B18"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Ne_Cel_10</w:t>
            </w:r>
          </w:p>
        </w:tc>
        <w:tc>
          <w:tcPr>
            <w:tcW w:w="1134" w:type="dxa"/>
            <w:tcBorders>
              <w:top w:val="single" w:sz="6" w:space="0" w:color="auto"/>
              <w:left w:val="single" w:sz="6" w:space="0" w:color="auto"/>
              <w:bottom w:val="single" w:sz="6" w:space="0" w:color="auto"/>
              <w:right w:val="single" w:sz="6" w:space="0" w:color="auto"/>
            </w:tcBorders>
            <w:shd w:val="solid" w:color="FFFFFF" w:fill="auto"/>
            <w:vAlign w:val="bottom"/>
          </w:tcPr>
          <w:p w14:paraId="0AE1E3D6" w14:textId="065A9640"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Innexin-12</w:t>
            </w:r>
          </w:p>
        </w:tc>
        <w:tc>
          <w:tcPr>
            <w:tcW w:w="1077" w:type="dxa"/>
            <w:tcBorders>
              <w:top w:val="single" w:sz="6" w:space="0" w:color="auto"/>
              <w:left w:val="single" w:sz="6" w:space="0" w:color="auto"/>
              <w:bottom w:val="single" w:sz="6" w:space="0" w:color="auto"/>
              <w:right w:val="single" w:sz="6" w:space="0" w:color="auto"/>
            </w:tcBorders>
            <w:shd w:val="solid" w:color="FFFFFF" w:fill="auto"/>
            <w:vAlign w:val="bottom"/>
          </w:tcPr>
          <w:p w14:paraId="16EE412B" w14:textId="34BB5CBB"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O01634</w:t>
            </w:r>
          </w:p>
        </w:tc>
        <w:tc>
          <w:tcPr>
            <w:tcW w:w="510" w:type="dxa"/>
            <w:tcBorders>
              <w:top w:val="single" w:sz="6" w:space="0" w:color="auto"/>
              <w:left w:val="single" w:sz="6" w:space="0" w:color="auto"/>
              <w:bottom w:val="single" w:sz="6" w:space="0" w:color="auto"/>
              <w:right w:val="single" w:sz="6" w:space="0" w:color="auto"/>
            </w:tcBorders>
            <w:shd w:val="solid" w:color="FFFFFF" w:fill="auto"/>
          </w:tcPr>
          <w:p w14:paraId="4D46B97B" w14:textId="5769D549"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99</w:t>
            </w:r>
          </w:p>
        </w:tc>
        <w:tc>
          <w:tcPr>
            <w:tcW w:w="510" w:type="dxa"/>
            <w:tcBorders>
              <w:top w:val="single" w:sz="6" w:space="0" w:color="auto"/>
              <w:left w:val="single" w:sz="6" w:space="0" w:color="auto"/>
              <w:bottom w:val="single" w:sz="6" w:space="0" w:color="auto"/>
              <w:right w:val="single" w:sz="6" w:space="0" w:color="auto"/>
            </w:tcBorders>
            <w:shd w:val="solid" w:color="FFFFFF" w:fill="auto"/>
          </w:tcPr>
          <w:p w14:paraId="2D4679A1" w14:textId="77777777" w:rsidR="00696D15" w:rsidRPr="00AA1034" w:rsidRDefault="00696D15" w:rsidP="00BB45A5">
            <w:pPr>
              <w:autoSpaceDE w:val="0"/>
              <w:autoSpaceDN w:val="0"/>
              <w:adjustRightInd w:val="0"/>
              <w:rPr>
                <w:rFonts w:ascii="Times" w:hAnsi="Times" w:cs="Calibri"/>
                <w:color w:val="000000" w:themeColor="text1"/>
                <w:sz w:val="16"/>
                <w:szCs w:val="16"/>
              </w:rPr>
            </w:pPr>
          </w:p>
        </w:tc>
        <w:tc>
          <w:tcPr>
            <w:tcW w:w="1587" w:type="dxa"/>
            <w:tcBorders>
              <w:top w:val="single" w:sz="6" w:space="0" w:color="auto"/>
              <w:left w:val="single" w:sz="6" w:space="0" w:color="auto"/>
              <w:bottom w:val="single" w:sz="6" w:space="0" w:color="auto"/>
              <w:right w:val="single" w:sz="6" w:space="0" w:color="auto"/>
            </w:tcBorders>
            <w:shd w:val="solid" w:color="FFFFFF" w:fill="auto"/>
          </w:tcPr>
          <w:p w14:paraId="2D045E19" w14:textId="1B67A874" w:rsidR="00696D15" w:rsidRPr="00AA1034" w:rsidRDefault="00696D15" w:rsidP="00BB45A5">
            <w:pPr>
              <w:autoSpaceDE w:val="0"/>
              <w:autoSpaceDN w:val="0"/>
              <w:adjustRightInd w:val="0"/>
              <w:rPr>
                <w:rFonts w:ascii="Times" w:hAnsi="Times" w:cs="Calibri"/>
                <w:color w:val="000000" w:themeColor="text1"/>
                <w:sz w:val="16"/>
                <w:szCs w:val="16"/>
                <w:lang w:val="en-US"/>
              </w:rPr>
            </w:pPr>
            <w:r w:rsidRPr="00AA1034">
              <w:rPr>
                <w:rFonts w:ascii="Times" w:hAnsi="Times" w:cs="Calibri"/>
                <w:color w:val="000000" w:themeColor="text1"/>
                <w:sz w:val="16"/>
                <w:szCs w:val="16"/>
                <w:lang w:val="en-US"/>
              </w:rPr>
              <w:t>SEDKQ</w:t>
            </w:r>
            <w:r w:rsidRPr="00AA1034">
              <w:rPr>
                <w:rFonts w:ascii="Times" w:hAnsi="Times" w:cs="Calibri"/>
                <w:color w:val="000000" w:themeColor="text1"/>
                <w:sz w:val="16"/>
                <w:szCs w:val="16"/>
                <w:u w:val="single"/>
                <w:lang w:val="en-US"/>
              </w:rPr>
              <w:t>NTT</w:t>
            </w:r>
            <w:r w:rsidRPr="00AA1034">
              <w:rPr>
                <w:rFonts w:ascii="Times" w:hAnsi="Times" w:cs="Calibri"/>
                <w:color w:val="000000" w:themeColor="text1"/>
                <w:sz w:val="16"/>
                <w:szCs w:val="16"/>
                <w:lang w:val="en-US"/>
              </w:rPr>
              <w:t>SLKQT</w:t>
            </w:r>
          </w:p>
        </w:tc>
        <w:tc>
          <w:tcPr>
            <w:tcW w:w="852" w:type="dxa"/>
            <w:tcBorders>
              <w:top w:val="single" w:sz="6" w:space="0" w:color="auto"/>
              <w:left w:val="single" w:sz="6" w:space="0" w:color="auto"/>
              <w:bottom w:val="single" w:sz="6" w:space="0" w:color="auto"/>
              <w:right w:val="single" w:sz="6" w:space="0" w:color="auto"/>
            </w:tcBorders>
            <w:shd w:val="solid" w:color="FFFFFF" w:fill="auto"/>
            <w:vAlign w:val="center"/>
          </w:tcPr>
          <w:p w14:paraId="77BF2FA9" w14:textId="0DD7F86A" w:rsidR="00696D15" w:rsidRPr="00AA1034" w:rsidRDefault="002D7DE5" w:rsidP="002D7DE5">
            <w:pPr>
              <w:autoSpaceDE w:val="0"/>
              <w:autoSpaceDN w:val="0"/>
              <w:adjustRightInd w:val="0"/>
              <w:jc w:val="center"/>
              <w:rPr>
                <w:rFonts w:ascii="Times" w:hAnsi="Times" w:cs="Calibri"/>
                <w:color w:val="000000" w:themeColor="text1"/>
                <w:sz w:val="16"/>
                <w:szCs w:val="16"/>
              </w:rPr>
            </w:pPr>
            <w:r w:rsidRPr="00AA1034">
              <w:rPr>
                <w:rFonts w:ascii="Times" w:hAnsi="Times" w:cs="Calibri"/>
                <w:color w:val="000000" w:themeColor="text1"/>
                <w:sz w:val="16"/>
                <w:szCs w:val="16"/>
              </w:rPr>
              <w:t>0.5006</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03B4D615" w14:textId="3362FE36"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fldChar w:fldCharType="begin" w:fldLock="1"/>
            </w:r>
            <w:r w:rsidRPr="00AA1034">
              <w:rPr>
                <w:rFonts w:ascii="Times" w:hAnsi="Times" w:cs="Calibri"/>
                <w:color w:val="000000" w:themeColor="text1"/>
                <w:sz w:val="16"/>
                <w:szCs w:val="16"/>
              </w:rPr>
              <w:instrText>ADDIN CSL_CITATION {"citationItems":[{"id":"ITEM-1","itemData":{"DOI":"10.1371/journal.pgen.1003510","ISSN":"1553-7404","PMID":"23671426","abstract":"The Caenorhabditis elegans spermatheca is a myoepithelial tube that stores sperm and undergoes cycles of stretching and constriction as oocytes enter, are fertilized, and exit into the uterus. FLN-1/filamin, a stretch-sensitive structural and signaling scaffold, and PLC-1/phospholipase C-ε, an enzyme that generates the second messenger IP3, are required for embryos to exit normally after fertilization. Using GCaMP, a genetically encoded calcium indicator, we show that entry of an oocyte into the spermatheca initiates a distinctive series of IP3-dependent calcium oscillations that propagate across the tissue via gap junctions and lead to constriction of the spermatheca. PLC-1 is required for the calcium release mechanism triggered by oocyte entry, and FLN-1 is required for timely initiation of the calcium oscillations. INX-12, a gap junction subunit, coordinates propagation of the calcium transients across the spermatheca. Gain-of-function mutations in ITR-1/IP3R, an IP3-dependent calcium channel, and loss-of-function mutations in LFE-2, a negative regulator of IP3signaling, increase calcium release and suppress the exit defect in filamin-deficient animals. We further demonstrate that a regulatory cassette consisting of MEL-11/myosin phosphatase and NMY-1/non-muscle myosin is required for coordinated contraction of the spermatheca. In summary, this study answers long-standing questions concerning calcium signaling dynamics in the C. elegans spermatheca and suggests FLN-1 is needed in response to oocyte entry to trigger calcium release and coordinated contraction of the spermathecal tissue. © 2013 Kovacevic et al.","author":[{"dropping-particle":"","family":"Kovacevic","given":"Ismar","non-dropping-particle":"","parse-names":false,"suffix":""},{"dropping-particle":"","family":"Orozco","given":"Jose M.","non-dropping-particle":"","parse-names":false,"suffix":""},{"dropping-particle":"","family":"Cram","given":"Erin J.","non-dropping-particle":"","parse-names":false,"suffix":""}],"container-title":"PLoS Genetics","editor":[{"dropping-particle":"","family":"Chisholm","given":"Andrew D.","non-dropping-particle":"","parse-names":false,"suffix":""}],"id":"ITEM-1","issue":"5","issued":{"date-parts":[["2013","5","9"]]},"page":"e1003510","publisher":"Public Library of Science","title":"Filamin and phospholipase C-ε are required for calcium signaling in the Caenorhabditis elegans spermatheca","type":"article-journal","volume":"9"},"uris":["http://www.mendeley.com/documents/?uuid=66acc34c-944d-30a3-af5c-7d3f245e889d"]}],"mendeley":{"formattedCitation":"(Kovacevic et al., 2013)","plainTextFormattedCitation":"(Kovacevic et al., 2013)","previouslyFormattedCitation":"(Kovacevic et al., 2013)"},"properties":{"noteIndex":0},"schema":"https://github.com/citation-style-language/schema/raw/master/csl-citation.json"}</w:instrText>
            </w:r>
            <w:r w:rsidRPr="00AA1034">
              <w:rPr>
                <w:rFonts w:ascii="Times" w:hAnsi="Times" w:cs="Calibri"/>
                <w:color w:val="000000" w:themeColor="text1"/>
                <w:sz w:val="16"/>
                <w:szCs w:val="16"/>
              </w:rPr>
              <w:fldChar w:fldCharType="separate"/>
            </w:r>
            <w:r w:rsidRPr="00AA1034">
              <w:rPr>
                <w:rFonts w:ascii="Times" w:hAnsi="Times" w:cs="Calibri"/>
                <w:noProof/>
                <w:color w:val="000000" w:themeColor="text1"/>
                <w:sz w:val="16"/>
                <w:szCs w:val="16"/>
              </w:rPr>
              <w:t>(Kovacevic et al., 2013)</w:t>
            </w:r>
            <w:r w:rsidRPr="00AA1034">
              <w:rPr>
                <w:rFonts w:ascii="Times" w:hAnsi="Times" w:cs="Calibri"/>
                <w:color w:val="000000" w:themeColor="text1"/>
                <w:sz w:val="16"/>
                <w:szCs w:val="16"/>
              </w:rPr>
              <w:fldChar w:fldCharType="end"/>
            </w:r>
          </w:p>
        </w:tc>
      </w:tr>
      <w:tr w:rsidR="00AA1034" w:rsidRPr="00AA1034" w14:paraId="3C8E9780" w14:textId="77777777" w:rsidTr="002D7DE5">
        <w:trPr>
          <w:trHeight w:val="170"/>
        </w:trPr>
        <w:tc>
          <w:tcPr>
            <w:tcW w:w="1275" w:type="dxa"/>
            <w:vMerge/>
            <w:tcBorders>
              <w:left w:val="single" w:sz="6" w:space="0" w:color="auto"/>
              <w:bottom w:val="single" w:sz="4" w:space="0" w:color="auto"/>
              <w:right w:val="single" w:sz="6" w:space="0" w:color="auto"/>
            </w:tcBorders>
            <w:shd w:val="solid" w:color="FFFFFF" w:fill="auto"/>
          </w:tcPr>
          <w:p w14:paraId="4E1FA59B" w14:textId="77777777" w:rsidR="00696D15" w:rsidRPr="00AA1034" w:rsidRDefault="00696D15" w:rsidP="00BB45A5">
            <w:pPr>
              <w:autoSpaceDE w:val="0"/>
              <w:autoSpaceDN w:val="0"/>
              <w:adjustRightInd w:val="0"/>
              <w:rPr>
                <w:rFonts w:ascii="Times" w:hAnsi="Times" w:cs="Calibri"/>
                <w:i/>
                <w:iCs/>
                <w:color w:val="000000" w:themeColor="text1"/>
                <w:sz w:val="16"/>
                <w:szCs w:val="16"/>
              </w:rPr>
            </w:pP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2F211BDA" w14:textId="067E8FC5"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Ne_Cel_12</w:t>
            </w:r>
          </w:p>
        </w:tc>
        <w:tc>
          <w:tcPr>
            <w:tcW w:w="1134" w:type="dxa"/>
            <w:tcBorders>
              <w:top w:val="single" w:sz="6" w:space="0" w:color="auto"/>
              <w:left w:val="single" w:sz="6" w:space="0" w:color="auto"/>
              <w:bottom w:val="single" w:sz="6" w:space="0" w:color="auto"/>
              <w:right w:val="single" w:sz="6" w:space="0" w:color="auto"/>
            </w:tcBorders>
            <w:shd w:val="solid" w:color="FFFFFF" w:fill="auto"/>
            <w:vAlign w:val="bottom"/>
          </w:tcPr>
          <w:p w14:paraId="24364D4B" w14:textId="567E2497"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Innexin unc-9</w:t>
            </w:r>
          </w:p>
        </w:tc>
        <w:tc>
          <w:tcPr>
            <w:tcW w:w="1077" w:type="dxa"/>
            <w:tcBorders>
              <w:top w:val="single" w:sz="6" w:space="0" w:color="auto"/>
              <w:left w:val="single" w:sz="6" w:space="0" w:color="auto"/>
              <w:bottom w:val="single" w:sz="6" w:space="0" w:color="auto"/>
              <w:right w:val="single" w:sz="6" w:space="0" w:color="auto"/>
            </w:tcBorders>
            <w:shd w:val="solid" w:color="FFFFFF" w:fill="auto"/>
            <w:vAlign w:val="bottom"/>
          </w:tcPr>
          <w:p w14:paraId="523FFA94" w14:textId="0930657D"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O01393</w:t>
            </w:r>
          </w:p>
        </w:tc>
        <w:tc>
          <w:tcPr>
            <w:tcW w:w="510" w:type="dxa"/>
            <w:tcBorders>
              <w:top w:val="single" w:sz="6" w:space="0" w:color="auto"/>
              <w:left w:val="single" w:sz="6" w:space="0" w:color="auto"/>
              <w:bottom w:val="single" w:sz="6" w:space="0" w:color="auto"/>
              <w:right w:val="single" w:sz="6" w:space="0" w:color="auto"/>
            </w:tcBorders>
            <w:shd w:val="solid" w:color="FFFFFF" w:fill="auto"/>
          </w:tcPr>
          <w:p w14:paraId="7B7CF2C7" w14:textId="77777777" w:rsidR="00696D15" w:rsidRPr="00AA1034" w:rsidRDefault="00696D15" w:rsidP="00BB45A5">
            <w:pPr>
              <w:autoSpaceDE w:val="0"/>
              <w:autoSpaceDN w:val="0"/>
              <w:adjustRightInd w:val="0"/>
              <w:rPr>
                <w:rFonts w:ascii="Times" w:hAnsi="Times" w:cs="Calibri"/>
                <w:color w:val="000000" w:themeColor="text1"/>
                <w:sz w:val="16"/>
                <w:szCs w:val="16"/>
              </w:rPr>
            </w:pPr>
          </w:p>
        </w:tc>
        <w:tc>
          <w:tcPr>
            <w:tcW w:w="510" w:type="dxa"/>
            <w:tcBorders>
              <w:top w:val="single" w:sz="6" w:space="0" w:color="auto"/>
              <w:left w:val="single" w:sz="6" w:space="0" w:color="auto"/>
              <w:bottom w:val="single" w:sz="6" w:space="0" w:color="auto"/>
              <w:right w:val="single" w:sz="6" w:space="0" w:color="auto"/>
            </w:tcBorders>
            <w:shd w:val="solid" w:color="FFFFFF" w:fill="auto"/>
          </w:tcPr>
          <w:p w14:paraId="037AB588" w14:textId="157555DE"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223</w:t>
            </w:r>
          </w:p>
        </w:tc>
        <w:tc>
          <w:tcPr>
            <w:tcW w:w="1587" w:type="dxa"/>
            <w:tcBorders>
              <w:top w:val="single" w:sz="6" w:space="0" w:color="auto"/>
              <w:left w:val="single" w:sz="6" w:space="0" w:color="auto"/>
              <w:bottom w:val="single" w:sz="6" w:space="0" w:color="auto"/>
              <w:right w:val="single" w:sz="6" w:space="0" w:color="auto"/>
            </w:tcBorders>
            <w:shd w:val="solid" w:color="FFFFFF" w:fill="auto"/>
          </w:tcPr>
          <w:p w14:paraId="183CBF15" w14:textId="5D64C86C" w:rsidR="00696D15" w:rsidRPr="00AA1034" w:rsidRDefault="00696D15" w:rsidP="00BB45A5">
            <w:pPr>
              <w:autoSpaceDE w:val="0"/>
              <w:autoSpaceDN w:val="0"/>
              <w:adjustRightInd w:val="0"/>
              <w:rPr>
                <w:rFonts w:ascii="Times" w:hAnsi="Times" w:cs="Calibri"/>
                <w:color w:val="000000" w:themeColor="text1"/>
                <w:sz w:val="16"/>
                <w:szCs w:val="16"/>
                <w:lang w:val="en-US"/>
              </w:rPr>
            </w:pPr>
            <w:r w:rsidRPr="00AA1034">
              <w:rPr>
                <w:rFonts w:ascii="Times" w:hAnsi="Times" w:cs="Calibri"/>
                <w:color w:val="000000" w:themeColor="text1"/>
                <w:sz w:val="16"/>
                <w:szCs w:val="16"/>
                <w:lang w:val="en-US"/>
              </w:rPr>
              <w:t>NTFLG</w:t>
            </w:r>
            <w:r w:rsidRPr="00AA1034">
              <w:rPr>
                <w:rFonts w:ascii="Times" w:hAnsi="Times" w:cs="Calibri"/>
                <w:color w:val="000000" w:themeColor="text1"/>
                <w:sz w:val="16"/>
                <w:szCs w:val="16"/>
                <w:u w:val="single"/>
                <w:lang w:val="en-US"/>
              </w:rPr>
              <w:t>NRS</w:t>
            </w:r>
            <w:r w:rsidRPr="00AA1034">
              <w:rPr>
                <w:rFonts w:ascii="Times" w:hAnsi="Times" w:cs="Calibri"/>
                <w:color w:val="000000" w:themeColor="text1"/>
                <w:sz w:val="16"/>
                <w:szCs w:val="16"/>
                <w:lang w:val="en-US"/>
              </w:rPr>
              <w:t>KWYGL</w:t>
            </w:r>
          </w:p>
        </w:tc>
        <w:tc>
          <w:tcPr>
            <w:tcW w:w="852" w:type="dxa"/>
            <w:tcBorders>
              <w:top w:val="single" w:sz="6" w:space="0" w:color="auto"/>
              <w:left w:val="single" w:sz="6" w:space="0" w:color="auto"/>
              <w:bottom w:val="single" w:sz="6" w:space="0" w:color="auto"/>
              <w:right w:val="single" w:sz="6" w:space="0" w:color="auto"/>
            </w:tcBorders>
            <w:shd w:val="solid" w:color="FFFFFF" w:fill="auto"/>
            <w:vAlign w:val="center"/>
          </w:tcPr>
          <w:p w14:paraId="63987442" w14:textId="4714F781" w:rsidR="00696D15" w:rsidRPr="00AA1034" w:rsidRDefault="002D7DE5" w:rsidP="002D7DE5">
            <w:pPr>
              <w:autoSpaceDE w:val="0"/>
              <w:autoSpaceDN w:val="0"/>
              <w:adjustRightInd w:val="0"/>
              <w:jc w:val="center"/>
              <w:rPr>
                <w:rFonts w:ascii="Times" w:hAnsi="Times" w:cs="Calibri"/>
                <w:color w:val="000000" w:themeColor="text1"/>
                <w:sz w:val="16"/>
                <w:szCs w:val="16"/>
              </w:rPr>
            </w:pPr>
            <w:r w:rsidRPr="00AA1034">
              <w:rPr>
                <w:rFonts w:ascii="Times" w:hAnsi="Times" w:cs="Calibri"/>
                <w:color w:val="000000" w:themeColor="text1"/>
                <w:sz w:val="16"/>
                <w:szCs w:val="16"/>
              </w:rPr>
              <w:t>0.6573</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1592D1FD" w14:textId="6773828E"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fldChar w:fldCharType="begin" w:fldLock="1"/>
            </w:r>
            <w:r w:rsidR="002D7DE5" w:rsidRPr="00AA1034">
              <w:rPr>
                <w:rFonts w:ascii="Times" w:hAnsi="Times" w:cs="Calibri"/>
                <w:color w:val="000000" w:themeColor="text1"/>
                <w:sz w:val="16"/>
                <w:szCs w:val="16"/>
              </w:rPr>
              <w:instrText>ADDIN CSL_CITATION {"citationItems":[{"id":"ITEM-1","itemData":{"DOI":"10.1186/1749-8104-4-16","ISSN":"1749-8104","PMID":"19432959","abstract":"Background. Approximately 10% of Caenorhabditis elegans nervous system synapses are electrical, that is, gap junctions composed of innexins. The locomotory nervous system consists of several pairs of interneurons and three major classes of motor neurons, all with stereotypical patterns of connectivity that include gap junctions. Mutations in the two innexin genes unc-7 and unc-9 result in identical uncoordinated movement phenotypes, and their respective gene products were investigated for their contribution to electrical synapse connectivity. Results. unc-7 encodes three innexin isoforms. Two of these, UNC-7S and UNC-7SR, are functionally equivalent and play an essential role in coordinated locomotion. UNC-7S and UNC-7SR are widely expressed and co-localize extensively with green fluorescent protein-tagged innexin UNC-9 in the ventral and dorsal nerve cords. A subset of UNC-7S/SR expression visualizes gap junctions formed between the AVB forward command interneurons and their B class motor neuron partners. Experiments indicate that expression of UNC-7S/SR in AVB and expression of UNC-9 in B motor neurons is necessary for these gap junctions to form. In Xenopus oocyte pairs, both UNC-7S and UNC-9 form homomeric gap junctions, and together they form heterotypic channels. Xenopus oocyte studies and co-localization studies in C. elegans suggest that UNC-7S and UNC-9 do not heteromerize in the same hemichannel, leading to the model that hemichannels in AVB:B motor neuron gap junctions are homomeric and heterotypic. Conclusion. UNC-7S and UNC-9 are widely expressed and contribute to a large number of the gap junctions identified in the locomotory nervous system. Proper AVB:B gap junction formation requires UNC-7S expression in AVB interneurons and UNC-9 expression in B motor neurons. More broadly, this illustrates that innexin identity is critical for electrical synapse specificity, but differential (compartmentalized) innexin expression cannot account for all of the specificity seen in C. elegans, and other factors must influence the determination of synaptic partners. © 2009 Starich et al.; licensee BioMed Central Ltd.","author":[{"dropping-particle":"","family":"Starich","given":"Todd A","non-dropping-particle":"","parse-names":false,"suffix":""},{"dropping-particle":"","family":"Xu","given":"Ji","non-dropping-particle":"","parse-names":false,"suffix":""},{"dropping-particle":"","family":"Skerrett","given":"I Martha","non-dropping-particle":"","parse-names":false,"suffix":""},{"dropping-particle":"","family":"Nicholson","given":"Bruce J","non-dropping-particle":"","parse-names":false,"suffix":""},{"dropping-particle":"","family":"Shaw","given":"Jocelyn E","non-dropping-particle":"","parse-names":false,"suffix":""}],"container-title":"Neural Development","id":"ITEM-1","issue":"1","issued":{"date-parts":[["2009"]]},"page":"16","publisher":"BioMed Central","title":"Interactions between innexins UNC-7 and UNC-9 mediate electrical synapse specificity in the Caenorhabditis elegans locomotory nervous system","type":"article-journal","volume":"4"},"uris":["http://www.mendeley.com/documents/?uuid=43ea9aaa-c34e-3f8c-90ed-b31699a6c1b5"]}],"mendeley":{"formattedCitation":"(Starich et al., 2009)","manualFormatting":"(Starich et al., 2009)","plainTextFormattedCitation":"(Starich et al., 2009)","previouslyFormattedCitation":"(Starich et al., 2009)"},"properties":{"noteIndex":0},"schema":"https://github.com/citation-style-language/schema/raw/master/csl-citation.json"}</w:instrText>
            </w:r>
            <w:r w:rsidRPr="00AA1034">
              <w:rPr>
                <w:rFonts w:ascii="Times" w:hAnsi="Times" w:cs="Calibri"/>
                <w:color w:val="000000" w:themeColor="text1"/>
                <w:sz w:val="16"/>
                <w:szCs w:val="16"/>
              </w:rPr>
              <w:fldChar w:fldCharType="separate"/>
            </w:r>
            <w:r w:rsidRPr="00AA1034">
              <w:rPr>
                <w:rFonts w:ascii="Times" w:hAnsi="Times" w:cs="Calibri"/>
                <w:noProof/>
                <w:color w:val="000000" w:themeColor="text1"/>
                <w:sz w:val="16"/>
                <w:szCs w:val="16"/>
              </w:rPr>
              <w:t>(Starich et al., 2009)</w:t>
            </w:r>
            <w:r w:rsidRPr="00AA1034">
              <w:rPr>
                <w:rFonts w:ascii="Times" w:hAnsi="Times" w:cs="Calibri"/>
                <w:color w:val="000000" w:themeColor="text1"/>
                <w:sz w:val="16"/>
                <w:szCs w:val="16"/>
              </w:rPr>
              <w:fldChar w:fldCharType="end"/>
            </w:r>
          </w:p>
        </w:tc>
      </w:tr>
    </w:tbl>
    <w:p w14:paraId="07493135" w14:textId="1DF179C0" w:rsidR="00990463" w:rsidRPr="00AA1034" w:rsidRDefault="00990463" w:rsidP="00BB45A5">
      <w:pPr>
        <w:rPr>
          <w:color w:val="000000" w:themeColor="text1"/>
        </w:rPr>
      </w:pPr>
    </w:p>
    <w:tbl>
      <w:tblPr>
        <w:tblW w:w="9639" w:type="dxa"/>
        <w:tblInd w:w="-8" w:type="dxa"/>
        <w:tblLayout w:type="fixed"/>
        <w:tblCellMar>
          <w:left w:w="70" w:type="dxa"/>
          <w:right w:w="70" w:type="dxa"/>
        </w:tblCellMar>
        <w:tblLook w:val="0000" w:firstRow="0" w:lastRow="0" w:firstColumn="0" w:lastColumn="0" w:noHBand="0" w:noVBand="0"/>
      </w:tblPr>
      <w:tblGrid>
        <w:gridCol w:w="1275"/>
        <w:gridCol w:w="993"/>
        <w:gridCol w:w="1134"/>
        <w:gridCol w:w="1077"/>
        <w:gridCol w:w="510"/>
        <w:gridCol w:w="510"/>
        <w:gridCol w:w="1587"/>
        <w:gridCol w:w="852"/>
        <w:gridCol w:w="1701"/>
      </w:tblGrid>
      <w:tr w:rsidR="00AA1034" w:rsidRPr="00AA1034" w14:paraId="7C3795C8" w14:textId="77777777" w:rsidTr="002D7DE5">
        <w:trPr>
          <w:trHeight w:val="170"/>
        </w:trPr>
        <w:tc>
          <w:tcPr>
            <w:tcW w:w="1275" w:type="dxa"/>
            <w:vMerge w:val="restart"/>
            <w:tcBorders>
              <w:top w:val="single" w:sz="4" w:space="0" w:color="auto"/>
              <w:left w:val="single" w:sz="6" w:space="0" w:color="auto"/>
              <w:right w:val="single" w:sz="6" w:space="0" w:color="auto"/>
            </w:tcBorders>
            <w:shd w:val="solid" w:color="FFFFFF" w:fill="auto"/>
          </w:tcPr>
          <w:p w14:paraId="1966D3D3" w14:textId="528B30B6" w:rsidR="00696D15" w:rsidRPr="00AA1034" w:rsidRDefault="00696D15" w:rsidP="00BB45A5">
            <w:pPr>
              <w:autoSpaceDE w:val="0"/>
              <w:autoSpaceDN w:val="0"/>
              <w:adjustRightInd w:val="0"/>
              <w:rPr>
                <w:rFonts w:ascii="Times" w:hAnsi="Times" w:cs="Calibri"/>
                <w:i/>
                <w:iCs/>
                <w:color w:val="000000" w:themeColor="text1"/>
                <w:sz w:val="16"/>
                <w:szCs w:val="16"/>
              </w:rPr>
            </w:pPr>
            <w:r w:rsidRPr="00AA1034">
              <w:rPr>
                <w:rFonts w:ascii="Times" w:hAnsi="Times" w:cs="Calibri"/>
                <w:i/>
                <w:iCs/>
                <w:color w:val="000000" w:themeColor="text1"/>
                <w:sz w:val="16"/>
                <w:szCs w:val="16"/>
              </w:rPr>
              <w:t xml:space="preserve">Drosophila </w:t>
            </w:r>
            <w:proofErr w:type="spellStart"/>
            <w:r w:rsidRPr="00AA1034">
              <w:rPr>
                <w:rFonts w:ascii="Times" w:hAnsi="Times" w:cs="Calibri"/>
                <w:i/>
                <w:iCs/>
                <w:color w:val="000000" w:themeColor="text1"/>
                <w:sz w:val="16"/>
                <w:szCs w:val="16"/>
              </w:rPr>
              <w:t>melanogaster</w:t>
            </w:r>
            <w:proofErr w:type="spellEnd"/>
          </w:p>
        </w:tc>
        <w:tc>
          <w:tcPr>
            <w:tcW w:w="993" w:type="dxa"/>
            <w:tcBorders>
              <w:top w:val="single" w:sz="4" w:space="0" w:color="auto"/>
              <w:left w:val="single" w:sz="6" w:space="0" w:color="auto"/>
              <w:bottom w:val="single" w:sz="6" w:space="0" w:color="auto"/>
              <w:right w:val="single" w:sz="6" w:space="0" w:color="auto"/>
            </w:tcBorders>
            <w:shd w:val="solid" w:color="FFFFFF" w:fill="auto"/>
            <w:vAlign w:val="bottom"/>
          </w:tcPr>
          <w:p w14:paraId="18D90D23" w14:textId="47815DAA"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Ar_Dme_01</w:t>
            </w:r>
          </w:p>
        </w:tc>
        <w:tc>
          <w:tcPr>
            <w:tcW w:w="1134" w:type="dxa"/>
            <w:tcBorders>
              <w:top w:val="single" w:sz="4" w:space="0" w:color="auto"/>
              <w:left w:val="single" w:sz="6" w:space="0" w:color="auto"/>
              <w:bottom w:val="single" w:sz="6" w:space="0" w:color="auto"/>
              <w:right w:val="single" w:sz="6" w:space="0" w:color="auto"/>
            </w:tcBorders>
            <w:shd w:val="solid" w:color="FFFFFF" w:fill="auto"/>
            <w:vAlign w:val="bottom"/>
          </w:tcPr>
          <w:p w14:paraId="59D9B621" w14:textId="7557BB15"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Innexin-6</w:t>
            </w:r>
          </w:p>
        </w:tc>
        <w:tc>
          <w:tcPr>
            <w:tcW w:w="1077" w:type="dxa"/>
            <w:tcBorders>
              <w:top w:val="single" w:sz="4" w:space="0" w:color="auto"/>
              <w:left w:val="single" w:sz="6" w:space="0" w:color="auto"/>
              <w:bottom w:val="single" w:sz="6" w:space="0" w:color="auto"/>
              <w:right w:val="single" w:sz="6" w:space="0" w:color="auto"/>
            </w:tcBorders>
            <w:shd w:val="solid" w:color="FFFFFF" w:fill="auto"/>
            <w:vAlign w:val="bottom"/>
          </w:tcPr>
          <w:p w14:paraId="102CF598" w14:textId="19DA70EA"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Q9VR82</w:t>
            </w:r>
          </w:p>
        </w:tc>
        <w:tc>
          <w:tcPr>
            <w:tcW w:w="510" w:type="dxa"/>
            <w:tcBorders>
              <w:top w:val="single" w:sz="4" w:space="0" w:color="auto"/>
              <w:left w:val="single" w:sz="6" w:space="0" w:color="auto"/>
              <w:bottom w:val="single" w:sz="6" w:space="0" w:color="auto"/>
              <w:right w:val="single" w:sz="6" w:space="0" w:color="auto"/>
            </w:tcBorders>
            <w:shd w:val="solid" w:color="FFFFFF" w:fill="auto"/>
          </w:tcPr>
          <w:p w14:paraId="27D68763" w14:textId="0E7926A7"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104</w:t>
            </w:r>
          </w:p>
        </w:tc>
        <w:tc>
          <w:tcPr>
            <w:tcW w:w="510" w:type="dxa"/>
            <w:tcBorders>
              <w:top w:val="single" w:sz="4" w:space="0" w:color="auto"/>
              <w:left w:val="single" w:sz="6" w:space="0" w:color="auto"/>
              <w:bottom w:val="single" w:sz="6" w:space="0" w:color="auto"/>
              <w:right w:val="single" w:sz="6" w:space="0" w:color="auto"/>
            </w:tcBorders>
            <w:shd w:val="solid" w:color="FFFFFF" w:fill="auto"/>
          </w:tcPr>
          <w:p w14:paraId="6C149929" w14:textId="58CC9F25" w:rsidR="00696D15" w:rsidRPr="00AA1034" w:rsidRDefault="00696D15" w:rsidP="00BB45A5">
            <w:pPr>
              <w:autoSpaceDE w:val="0"/>
              <w:autoSpaceDN w:val="0"/>
              <w:adjustRightInd w:val="0"/>
              <w:rPr>
                <w:rFonts w:ascii="Times" w:hAnsi="Times" w:cs="Calibri"/>
                <w:color w:val="000000" w:themeColor="text1"/>
                <w:sz w:val="16"/>
                <w:szCs w:val="16"/>
              </w:rPr>
            </w:pPr>
          </w:p>
        </w:tc>
        <w:tc>
          <w:tcPr>
            <w:tcW w:w="1587" w:type="dxa"/>
            <w:tcBorders>
              <w:top w:val="single" w:sz="4" w:space="0" w:color="auto"/>
              <w:left w:val="single" w:sz="6" w:space="0" w:color="auto"/>
              <w:bottom w:val="single" w:sz="6" w:space="0" w:color="auto"/>
              <w:right w:val="single" w:sz="6" w:space="0" w:color="auto"/>
            </w:tcBorders>
            <w:shd w:val="solid" w:color="FFFFFF" w:fill="auto"/>
          </w:tcPr>
          <w:p w14:paraId="2D046F62" w14:textId="4A474EF1"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AAETF</w:t>
            </w:r>
            <w:r w:rsidRPr="00AA1034">
              <w:rPr>
                <w:rFonts w:ascii="Times" w:hAnsi="Times" w:cs="Calibri"/>
                <w:color w:val="000000" w:themeColor="text1"/>
                <w:sz w:val="16"/>
                <w:szCs w:val="16"/>
                <w:u w:val="single"/>
              </w:rPr>
              <w:t>NVS</w:t>
            </w:r>
            <w:r w:rsidRPr="00AA1034">
              <w:rPr>
                <w:rFonts w:ascii="Times" w:hAnsi="Times" w:cs="Calibri"/>
                <w:color w:val="000000" w:themeColor="text1"/>
                <w:sz w:val="16"/>
                <w:szCs w:val="16"/>
              </w:rPr>
              <w:t>SLRAL</w:t>
            </w:r>
          </w:p>
        </w:tc>
        <w:tc>
          <w:tcPr>
            <w:tcW w:w="852" w:type="dxa"/>
            <w:tcBorders>
              <w:top w:val="single" w:sz="4" w:space="0" w:color="auto"/>
              <w:left w:val="single" w:sz="6" w:space="0" w:color="auto"/>
              <w:right w:val="single" w:sz="6" w:space="0" w:color="auto"/>
            </w:tcBorders>
            <w:shd w:val="solid" w:color="FFFFFF" w:fill="auto"/>
          </w:tcPr>
          <w:p w14:paraId="34E6E161" w14:textId="3A363758" w:rsidR="00696D15" w:rsidRPr="00AA1034" w:rsidRDefault="002D7DE5" w:rsidP="002D7DE5">
            <w:pPr>
              <w:autoSpaceDE w:val="0"/>
              <w:autoSpaceDN w:val="0"/>
              <w:adjustRightInd w:val="0"/>
              <w:jc w:val="center"/>
              <w:rPr>
                <w:rFonts w:ascii="Times" w:hAnsi="Times" w:cs="Calibri"/>
                <w:color w:val="000000" w:themeColor="text1"/>
                <w:sz w:val="16"/>
                <w:szCs w:val="16"/>
              </w:rPr>
            </w:pPr>
            <w:r w:rsidRPr="00AA1034">
              <w:rPr>
                <w:rFonts w:ascii="Times" w:hAnsi="Times" w:cs="Calibri"/>
                <w:color w:val="000000" w:themeColor="text1"/>
                <w:sz w:val="16"/>
                <w:szCs w:val="16"/>
              </w:rPr>
              <w:t>0.6536</w:t>
            </w:r>
          </w:p>
        </w:tc>
        <w:tc>
          <w:tcPr>
            <w:tcW w:w="1701" w:type="dxa"/>
            <w:vMerge w:val="restart"/>
            <w:tcBorders>
              <w:top w:val="single" w:sz="4" w:space="0" w:color="auto"/>
              <w:left w:val="single" w:sz="6" w:space="0" w:color="auto"/>
              <w:right w:val="single" w:sz="6" w:space="0" w:color="auto"/>
            </w:tcBorders>
            <w:shd w:val="solid" w:color="FFFFFF" w:fill="auto"/>
            <w:vAlign w:val="center"/>
          </w:tcPr>
          <w:p w14:paraId="6D449C93" w14:textId="74D1EFBB" w:rsidR="00696D15" w:rsidRPr="00AA1034" w:rsidRDefault="00696D15" w:rsidP="00B155D6">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fldChar w:fldCharType="begin" w:fldLock="1"/>
            </w:r>
            <w:r w:rsidRPr="00AA1034">
              <w:rPr>
                <w:rFonts w:ascii="Times" w:hAnsi="Times" w:cs="Calibri"/>
                <w:color w:val="000000" w:themeColor="text1"/>
                <w:sz w:val="16"/>
                <w:szCs w:val="16"/>
              </w:rPr>
              <w:instrText>ADDIN CSL_CITATION {"citationItems":[{"id":"ITEM-1","itemData":{"DOI":"10.1016/j.cub.2011.02.041","ISSN":"09609822","abstract":"Gap junctions play an important role in the regulation of neuronal metabolism and homeostasis by serving as connections that enable small molecules to pass between cells and synchronize activity between cells [1-3]. Although recent studies have linked gap junctions to memory formation [4, 5], it remains unclear how they contribute to this process [1, 5]. Gap junctions are hexameric hemichannels formed from the connexin and pannexin gene families in chordates and the innexin (inx) gene family in invertebrates [6, 7]. Here we show that two modulatory neurons, the anterior paired lateral (APL) neuron and the dorsal paired medial (DPM) neuron, form heterotypic gap junctions within the mushroom body (MB), a learning and memory center in the Drosophila brain. Using RNA interference-mediated knockdowns of inx7 and inx6 in the APL and DPM neurons, respectively, we found that flies showed normal olfactory associative learning and intact anesthesia-resistant memory (ARM) but failed to form anesthesia-sensitive memory (ASM). Our results reveal that the heterotypic gap junctions between the APL and DPM neurons are an essential part of the MB circuitry for memory formation, potentially constituting a recurrent neural network to stabilize ASM. © 2011 Elsevier Ltd.","author":[{"dropping-particle":"","family":"Wu","given":"Chia-Lin","non-dropping-particle":"","parse-names":false,"suffix":""},{"dropping-particle":"","family":"Shih","given":"Meng-Fu Maxwell","non-dropping-particle":"","parse-names":false,"suffix":""},{"dropping-particle":"","family":"Lai","given":"Jason Sih-Yu","non-dropping-particle":"","parse-names":false,"suffix":""},{"dropping-particle":"","family":"Yang","given":"Hsun-Ti","non-dropping-particle":"","parse-names":false,"suffix":""},{"dropping-particle":"","family":"Turner","given":"Glenn C.","non-dropping-particle":"","parse-names":false,"suffix":""},{"dropping-particle":"","family":"Chen","given":"Linyi","non-dropping-particle":"","parse-names":false,"suffix":""},{"dropping-particle":"","family":"Chiang","given":"Ann-Shyn","non-dropping-particle":"","parse-names":false,"suffix":""}],"container-title":"Current Biology","id":"ITEM-1","issue":"10","issued":{"date-parts":[["2011","5","24"]]},"page":"848-854","publisher":"Cell Press","title":"Heterotypic gap junctions between two neurons in the Drosophila brain are critical for memory","type":"article-journal","volume":"21"},"uris":["http://www.mendeley.com/documents/?uuid=54617763-294c-3bc1-989b-142277f74cbf"]}],"mendeley":{"formattedCitation":"(Wu et al., 2011)","plainTextFormattedCitation":"(Wu et al., 2011)","previouslyFormattedCitation":"(Wu et al., 2011)"},"properties":{"noteIndex":0},"schema":"https://github.com/citation-style-language/schema/raw/master/csl-citation.json"}</w:instrText>
            </w:r>
            <w:r w:rsidRPr="00AA1034">
              <w:rPr>
                <w:rFonts w:ascii="Times" w:hAnsi="Times" w:cs="Calibri"/>
                <w:color w:val="000000" w:themeColor="text1"/>
                <w:sz w:val="16"/>
                <w:szCs w:val="16"/>
              </w:rPr>
              <w:fldChar w:fldCharType="separate"/>
            </w:r>
            <w:r w:rsidRPr="00AA1034">
              <w:rPr>
                <w:rFonts w:ascii="Times" w:hAnsi="Times" w:cs="Calibri"/>
                <w:noProof/>
                <w:color w:val="000000" w:themeColor="text1"/>
                <w:sz w:val="16"/>
                <w:szCs w:val="16"/>
              </w:rPr>
              <w:t>(Wu et al., 2011)</w:t>
            </w:r>
            <w:r w:rsidRPr="00AA1034">
              <w:rPr>
                <w:rFonts w:ascii="Times" w:hAnsi="Times" w:cs="Calibri"/>
                <w:color w:val="000000" w:themeColor="text1"/>
                <w:sz w:val="16"/>
                <w:szCs w:val="16"/>
              </w:rPr>
              <w:fldChar w:fldCharType="end"/>
            </w:r>
          </w:p>
        </w:tc>
      </w:tr>
      <w:tr w:rsidR="00AA1034" w:rsidRPr="00AA1034" w14:paraId="75A77D05" w14:textId="77777777" w:rsidTr="002D7DE5">
        <w:trPr>
          <w:trHeight w:val="170"/>
        </w:trPr>
        <w:tc>
          <w:tcPr>
            <w:tcW w:w="1275" w:type="dxa"/>
            <w:vMerge/>
            <w:tcBorders>
              <w:left w:val="single" w:sz="6" w:space="0" w:color="auto"/>
              <w:bottom w:val="single" w:sz="4" w:space="0" w:color="auto"/>
              <w:right w:val="single" w:sz="6" w:space="0" w:color="auto"/>
            </w:tcBorders>
            <w:shd w:val="solid" w:color="FFFFFF" w:fill="auto"/>
          </w:tcPr>
          <w:p w14:paraId="1359400A" w14:textId="77777777" w:rsidR="00696D15" w:rsidRPr="00AA1034" w:rsidRDefault="00696D15" w:rsidP="00BB45A5">
            <w:pPr>
              <w:autoSpaceDE w:val="0"/>
              <w:autoSpaceDN w:val="0"/>
              <w:adjustRightInd w:val="0"/>
              <w:rPr>
                <w:rFonts w:ascii="Times" w:hAnsi="Times" w:cs="Calibri"/>
                <w:i/>
                <w:iCs/>
                <w:color w:val="000000" w:themeColor="text1"/>
                <w:sz w:val="16"/>
                <w:szCs w:val="16"/>
              </w:rPr>
            </w:pP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61FA6EC3" w14:textId="62B86D46"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Ar_Dme_02</w:t>
            </w:r>
          </w:p>
        </w:tc>
        <w:tc>
          <w:tcPr>
            <w:tcW w:w="1134" w:type="dxa"/>
            <w:tcBorders>
              <w:top w:val="single" w:sz="6" w:space="0" w:color="auto"/>
              <w:left w:val="single" w:sz="6" w:space="0" w:color="auto"/>
              <w:bottom w:val="single" w:sz="6" w:space="0" w:color="auto"/>
              <w:right w:val="single" w:sz="6" w:space="0" w:color="auto"/>
            </w:tcBorders>
            <w:shd w:val="solid" w:color="FFFFFF" w:fill="auto"/>
            <w:vAlign w:val="bottom"/>
          </w:tcPr>
          <w:p w14:paraId="5F781258" w14:textId="7305DD55"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Innexin-7</w:t>
            </w:r>
          </w:p>
        </w:tc>
        <w:tc>
          <w:tcPr>
            <w:tcW w:w="1077" w:type="dxa"/>
            <w:tcBorders>
              <w:top w:val="single" w:sz="6" w:space="0" w:color="auto"/>
              <w:left w:val="single" w:sz="6" w:space="0" w:color="auto"/>
              <w:bottom w:val="single" w:sz="6" w:space="0" w:color="auto"/>
              <w:right w:val="single" w:sz="6" w:space="0" w:color="auto"/>
            </w:tcBorders>
            <w:shd w:val="solid" w:color="FFFFFF" w:fill="auto"/>
            <w:vAlign w:val="bottom"/>
          </w:tcPr>
          <w:p w14:paraId="1C649C34" w14:textId="19B7E459"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Q9V3W6</w:t>
            </w:r>
          </w:p>
        </w:tc>
        <w:tc>
          <w:tcPr>
            <w:tcW w:w="510" w:type="dxa"/>
            <w:tcBorders>
              <w:top w:val="single" w:sz="6" w:space="0" w:color="auto"/>
              <w:left w:val="single" w:sz="6" w:space="0" w:color="auto"/>
              <w:bottom w:val="single" w:sz="6" w:space="0" w:color="auto"/>
              <w:right w:val="single" w:sz="6" w:space="0" w:color="auto"/>
            </w:tcBorders>
            <w:shd w:val="solid" w:color="FFFFFF" w:fill="auto"/>
          </w:tcPr>
          <w:p w14:paraId="5AC92F63" w14:textId="652557E8"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83</w:t>
            </w:r>
          </w:p>
        </w:tc>
        <w:tc>
          <w:tcPr>
            <w:tcW w:w="510" w:type="dxa"/>
            <w:tcBorders>
              <w:top w:val="single" w:sz="6" w:space="0" w:color="auto"/>
              <w:left w:val="single" w:sz="6" w:space="0" w:color="auto"/>
              <w:bottom w:val="single" w:sz="6" w:space="0" w:color="auto"/>
              <w:right w:val="single" w:sz="6" w:space="0" w:color="auto"/>
            </w:tcBorders>
            <w:shd w:val="solid" w:color="FFFFFF" w:fill="auto"/>
          </w:tcPr>
          <w:p w14:paraId="732BC127" w14:textId="77777777" w:rsidR="00696D15" w:rsidRPr="00AA1034" w:rsidRDefault="00696D15" w:rsidP="00BB45A5">
            <w:pPr>
              <w:autoSpaceDE w:val="0"/>
              <w:autoSpaceDN w:val="0"/>
              <w:adjustRightInd w:val="0"/>
              <w:rPr>
                <w:rFonts w:ascii="Times" w:hAnsi="Times" w:cs="Calibri"/>
                <w:color w:val="000000" w:themeColor="text1"/>
                <w:sz w:val="16"/>
                <w:szCs w:val="16"/>
              </w:rPr>
            </w:pPr>
          </w:p>
        </w:tc>
        <w:tc>
          <w:tcPr>
            <w:tcW w:w="1587" w:type="dxa"/>
            <w:tcBorders>
              <w:top w:val="single" w:sz="6" w:space="0" w:color="auto"/>
              <w:left w:val="single" w:sz="6" w:space="0" w:color="auto"/>
              <w:bottom w:val="single" w:sz="6" w:space="0" w:color="auto"/>
              <w:right w:val="single" w:sz="6" w:space="0" w:color="auto"/>
            </w:tcBorders>
            <w:shd w:val="solid" w:color="FFFFFF" w:fill="auto"/>
          </w:tcPr>
          <w:p w14:paraId="78E5B81A" w14:textId="0B41B21B" w:rsidR="00696D15" w:rsidRPr="00AA1034" w:rsidRDefault="00696D15" w:rsidP="00BB45A5">
            <w:pPr>
              <w:autoSpaceDE w:val="0"/>
              <w:autoSpaceDN w:val="0"/>
              <w:adjustRightInd w:val="0"/>
              <w:rPr>
                <w:rFonts w:ascii="Times" w:hAnsi="Times" w:cs="Calibri"/>
                <w:color w:val="000000" w:themeColor="text1"/>
                <w:sz w:val="16"/>
                <w:szCs w:val="16"/>
              </w:rPr>
            </w:pPr>
            <w:r w:rsidRPr="00AA1034">
              <w:rPr>
                <w:rFonts w:ascii="Times" w:hAnsi="Times" w:cs="Calibri"/>
                <w:color w:val="000000" w:themeColor="text1"/>
                <w:sz w:val="16"/>
                <w:szCs w:val="16"/>
              </w:rPr>
              <w:t>VVRDQ</w:t>
            </w:r>
            <w:r w:rsidRPr="00AA1034">
              <w:rPr>
                <w:rFonts w:ascii="Times" w:hAnsi="Times" w:cs="Calibri"/>
                <w:color w:val="000000" w:themeColor="text1"/>
                <w:sz w:val="16"/>
                <w:szCs w:val="16"/>
                <w:u w:val="single"/>
              </w:rPr>
              <w:t>NQT</w:t>
            </w:r>
            <w:r w:rsidRPr="00AA1034">
              <w:rPr>
                <w:rFonts w:ascii="Times" w:hAnsi="Times" w:cs="Calibri"/>
                <w:color w:val="000000" w:themeColor="text1"/>
                <w:sz w:val="16"/>
                <w:szCs w:val="16"/>
              </w:rPr>
              <w:t>AYRPG</w:t>
            </w:r>
          </w:p>
        </w:tc>
        <w:tc>
          <w:tcPr>
            <w:tcW w:w="852" w:type="dxa"/>
            <w:tcBorders>
              <w:left w:val="single" w:sz="6" w:space="0" w:color="auto"/>
              <w:bottom w:val="single" w:sz="6" w:space="0" w:color="auto"/>
              <w:right w:val="single" w:sz="6" w:space="0" w:color="auto"/>
            </w:tcBorders>
            <w:shd w:val="solid" w:color="FFFFFF" w:fill="auto"/>
          </w:tcPr>
          <w:p w14:paraId="5FC54032" w14:textId="52D845B0" w:rsidR="00696D15" w:rsidRPr="00AA1034" w:rsidRDefault="002D7DE5" w:rsidP="002D7DE5">
            <w:pPr>
              <w:autoSpaceDE w:val="0"/>
              <w:autoSpaceDN w:val="0"/>
              <w:adjustRightInd w:val="0"/>
              <w:jc w:val="center"/>
              <w:rPr>
                <w:rFonts w:ascii="Times" w:hAnsi="Times" w:cs="Calibri"/>
                <w:color w:val="000000" w:themeColor="text1"/>
                <w:sz w:val="16"/>
                <w:szCs w:val="16"/>
              </w:rPr>
            </w:pPr>
            <w:r w:rsidRPr="00AA1034">
              <w:rPr>
                <w:rFonts w:ascii="Times" w:hAnsi="Times" w:cs="Calibri"/>
                <w:color w:val="000000" w:themeColor="text1"/>
                <w:sz w:val="16"/>
                <w:szCs w:val="16"/>
              </w:rPr>
              <w:t>0.5032</w:t>
            </w:r>
          </w:p>
        </w:tc>
        <w:tc>
          <w:tcPr>
            <w:tcW w:w="1701" w:type="dxa"/>
            <w:vMerge/>
            <w:tcBorders>
              <w:left w:val="single" w:sz="6" w:space="0" w:color="auto"/>
              <w:bottom w:val="single" w:sz="6" w:space="0" w:color="auto"/>
              <w:right w:val="single" w:sz="6" w:space="0" w:color="auto"/>
            </w:tcBorders>
            <w:shd w:val="solid" w:color="FFFFFF" w:fill="auto"/>
          </w:tcPr>
          <w:p w14:paraId="709DED5A" w14:textId="1861173D" w:rsidR="00696D15" w:rsidRPr="00AA1034" w:rsidRDefault="00696D15" w:rsidP="00BB45A5">
            <w:pPr>
              <w:autoSpaceDE w:val="0"/>
              <w:autoSpaceDN w:val="0"/>
              <w:adjustRightInd w:val="0"/>
              <w:rPr>
                <w:rFonts w:ascii="Times" w:hAnsi="Times" w:cs="Calibri"/>
                <w:color w:val="000000" w:themeColor="text1"/>
                <w:sz w:val="16"/>
                <w:szCs w:val="16"/>
              </w:rPr>
            </w:pPr>
          </w:p>
        </w:tc>
      </w:tr>
    </w:tbl>
    <w:p w14:paraId="379E4741" w14:textId="77777777" w:rsidR="0086171B" w:rsidRDefault="0086171B" w:rsidP="001E0F18"/>
    <w:p w14:paraId="2DA67528" w14:textId="608F7B30" w:rsidR="009B43CE" w:rsidRPr="000814E8" w:rsidRDefault="009B43CE" w:rsidP="009B43CE">
      <w:pPr>
        <w:widowControl w:val="0"/>
        <w:autoSpaceDE w:val="0"/>
        <w:autoSpaceDN w:val="0"/>
        <w:adjustRightInd w:val="0"/>
        <w:spacing w:after="120"/>
        <w:ind w:left="480" w:hanging="480"/>
        <w:rPr>
          <w:rFonts w:ascii="Times New Roman" w:hAnsi="Times New Roman" w:cs="Times New Roman"/>
        </w:rPr>
      </w:pPr>
      <w:proofErr w:type="spellStart"/>
      <w:r w:rsidRPr="000814E8">
        <w:rPr>
          <w:rFonts w:ascii="Times New Roman" w:hAnsi="Times New Roman" w:cs="Times New Roman"/>
          <w:b/>
          <w:bCs/>
        </w:rPr>
        <w:t>Supplementary</w:t>
      </w:r>
      <w:proofErr w:type="spellEnd"/>
      <w:r w:rsidRPr="000814E8">
        <w:rPr>
          <w:rFonts w:ascii="Times New Roman" w:hAnsi="Times New Roman" w:cs="Times New Roman"/>
          <w:b/>
          <w:bCs/>
        </w:rPr>
        <w:t xml:space="preserve"> References</w:t>
      </w:r>
    </w:p>
    <w:p w14:paraId="56982C65" w14:textId="2690A84F" w:rsidR="002D7DE5" w:rsidRPr="00602675" w:rsidRDefault="009B43CE" w:rsidP="002D7DE5">
      <w:pPr>
        <w:widowControl w:val="0"/>
        <w:autoSpaceDE w:val="0"/>
        <w:autoSpaceDN w:val="0"/>
        <w:adjustRightInd w:val="0"/>
        <w:spacing w:after="60"/>
        <w:ind w:left="480" w:hanging="480"/>
        <w:rPr>
          <w:rFonts w:ascii="Times New Roman" w:hAnsi="Times New Roman" w:cs="Times New Roman"/>
          <w:noProof/>
          <w:lang w:val="en-US"/>
        </w:rPr>
      </w:pPr>
      <w:r w:rsidRPr="009B43CE">
        <w:rPr>
          <w:rFonts w:ascii="Times New Roman" w:hAnsi="Times New Roman" w:cs="Times New Roman"/>
        </w:rPr>
        <w:fldChar w:fldCharType="begin" w:fldLock="1"/>
      </w:r>
      <w:r w:rsidRPr="00F07CB1">
        <w:rPr>
          <w:rFonts w:ascii="Times New Roman" w:hAnsi="Times New Roman" w:cs="Times New Roman"/>
          <w:lang w:val="en-US"/>
        </w:rPr>
        <w:instrText xml:space="preserve">ADDIN Mendeley Bibliography CSL_BIBLIOGRAPHY </w:instrText>
      </w:r>
      <w:r w:rsidRPr="009B43CE">
        <w:rPr>
          <w:rFonts w:ascii="Times New Roman" w:hAnsi="Times New Roman" w:cs="Times New Roman"/>
        </w:rPr>
        <w:fldChar w:fldCharType="separate"/>
      </w:r>
      <w:r w:rsidR="002D7DE5" w:rsidRPr="00602675">
        <w:rPr>
          <w:rFonts w:ascii="Times New Roman" w:hAnsi="Times New Roman" w:cs="Times New Roman"/>
          <w:noProof/>
          <w:lang w:val="en-US"/>
        </w:rPr>
        <w:t xml:space="preserve">Firme, C. P., Natan, R. G., Yazdani, N., Macagno, E. R., &amp; Baker, M. W. (2012). Ectopic expression of select innexins in individual central neurons couples them to pre-existing neuronal or glial networks that express the same innexin. </w:t>
      </w:r>
      <w:r w:rsidR="002D7DE5" w:rsidRPr="00602675">
        <w:rPr>
          <w:rFonts w:ascii="Times New Roman" w:hAnsi="Times New Roman" w:cs="Times New Roman"/>
          <w:i/>
          <w:iCs/>
          <w:noProof/>
          <w:lang w:val="en-US"/>
        </w:rPr>
        <w:t>Journal of Neuroscience</w:t>
      </w:r>
      <w:r w:rsidR="002D7DE5" w:rsidRPr="00602675">
        <w:rPr>
          <w:rFonts w:ascii="Times New Roman" w:hAnsi="Times New Roman" w:cs="Times New Roman"/>
          <w:noProof/>
          <w:lang w:val="en-US"/>
        </w:rPr>
        <w:t xml:space="preserve">, </w:t>
      </w:r>
      <w:r w:rsidR="002D7DE5" w:rsidRPr="00602675">
        <w:rPr>
          <w:rFonts w:ascii="Times New Roman" w:hAnsi="Times New Roman" w:cs="Times New Roman"/>
          <w:i/>
          <w:iCs/>
          <w:noProof/>
          <w:lang w:val="en-US"/>
        </w:rPr>
        <w:t>32</w:t>
      </w:r>
      <w:r w:rsidR="002D7DE5" w:rsidRPr="00602675">
        <w:rPr>
          <w:rFonts w:ascii="Times New Roman" w:hAnsi="Times New Roman" w:cs="Times New Roman"/>
          <w:noProof/>
          <w:lang w:val="en-US"/>
        </w:rPr>
        <w:t>(41), 14265–14270. doi: 10.1523/JNEUROSCI.2693-12.2012</w:t>
      </w:r>
    </w:p>
    <w:p w14:paraId="26EC0439" w14:textId="77777777" w:rsidR="002D7DE5" w:rsidRPr="00602675" w:rsidRDefault="002D7DE5" w:rsidP="002D7DE5">
      <w:pPr>
        <w:widowControl w:val="0"/>
        <w:autoSpaceDE w:val="0"/>
        <w:autoSpaceDN w:val="0"/>
        <w:adjustRightInd w:val="0"/>
        <w:spacing w:after="60"/>
        <w:ind w:left="480" w:hanging="480"/>
        <w:rPr>
          <w:rFonts w:ascii="Times New Roman" w:hAnsi="Times New Roman" w:cs="Times New Roman"/>
          <w:noProof/>
          <w:lang w:val="en-US"/>
        </w:rPr>
      </w:pPr>
      <w:r w:rsidRPr="00602675">
        <w:rPr>
          <w:rFonts w:ascii="Times New Roman" w:hAnsi="Times New Roman" w:cs="Times New Roman"/>
          <w:noProof/>
          <w:lang w:val="en-US"/>
        </w:rPr>
        <w:t>Kovacevic, I., Orozco, J. M., &amp; Cram, E. J. (2013). Filamin and phospholipase C-</w:t>
      </w:r>
      <w:r w:rsidRPr="002D7DE5">
        <w:rPr>
          <w:rFonts w:ascii="Times New Roman" w:hAnsi="Times New Roman" w:cs="Times New Roman"/>
          <w:noProof/>
        </w:rPr>
        <w:t>ε</w:t>
      </w:r>
      <w:r w:rsidRPr="00602675">
        <w:rPr>
          <w:rFonts w:ascii="Times New Roman" w:hAnsi="Times New Roman" w:cs="Times New Roman"/>
          <w:noProof/>
          <w:lang w:val="en-US"/>
        </w:rPr>
        <w:t xml:space="preserve"> are required for calcium signaling in the Caenorhabditis elegans spermatheca. </w:t>
      </w:r>
      <w:r w:rsidRPr="00602675">
        <w:rPr>
          <w:rFonts w:ascii="Times New Roman" w:hAnsi="Times New Roman" w:cs="Times New Roman"/>
          <w:i/>
          <w:iCs/>
          <w:noProof/>
          <w:lang w:val="en-US"/>
        </w:rPr>
        <w:t>PLoS Genetics</w:t>
      </w:r>
      <w:r w:rsidRPr="00602675">
        <w:rPr>
          <w:rFonts w:ascii="Times New Roman" w:hAnsi="Times New Roman" w:cs="Times New Roman"/>
          <w:noProof/>
          <w:lang w:val="en-US"/>
        </w:rPr>
        <w:t xml:space="preserve">, </w:t>
      </w:r>
      <w:r w:rsidRPr="00602675">
        <w:rPr>
          <w:rFonts w:ascii="Times New Roman" w:hAnsi="Times New Roman" w:cs="Times New Roman"/>
          <w:i/>
          <w:iCs/>
          <w:noProof/>
          <w:lang w:val="en-US"/>
        </w:rPr>
        <w:t>9</w:t>
      </w:r>
      <w:r w:rsidRPr="00602675">
        <w:rPr>
          <w:rFonts w:ascii="Times New Roman" w:hAnsi="Times New Roman" w:cs="Times New Roman"/>
          <w:noProof/>
          <w:lang w:val="en-US"/>
        </w:rPr>
        <w:t>(5), e1003510. doi: 10.1371/journal.pgen.1003510</w:t>
      </w:r>
    </w:p>
    <w:p w14:paraId="476AB6E7" w14:textId="77777777" w:rsidR="002D7DE5" w:rsidRPr="00602675" w:rsidRDefault="002D7DE5" w:rsidP="002D7DE5">
      <w:pPr>
        <w:widowControl w:val="0"/>
        <w:autoSpaceDE w:val="0"/>
        <w:autoSpaceDN w:val="0"/>
        <w:adjustRightInd w:val="0"/>
        <w:spacing w:after="60"/>
        <w:ind w:left="480" w:hanging="480"/>
        <w:rPr>
          <w:rFonts w:ascii="Times New Roman" w:hAnsi="Times New Roman" w:cs="Times New Roman"/>
          <w:noProof/>
          <w:lang w:val="en-US"/>
        </w:rPr>
      </w:pPr>
      <w:r w:rsidRPr="00602675">
        <w:rPr>
          <w:rFonts w:ascii="Times New Roman" w:hAnsi="Times New Roman" w:cs="Times New Roman"/>
          <w:noProof/>
          <w:lang w:val="en-US"/>
        </w:rPr>
        <w:t xml:space="preserve">Liu, P., Chen, B., Altun, Z. F., Gross, M. J., Shan, A., Schuman, B., Hall, D. H., &amp; Wang, Z.-W. (2013). Six innexins contribute to electrical coupling of C. elegans body-wall muscle. </w:t>
      </w:r>
      <w:r w:rsidRPr="00602675">
        <w:rPr>
          <w:rFonts w:ascii="Times New Roman" w:hAnsi="Times New Roman" w:cs="Times New Roman"/>
          <w:i/>
          <w:iCs/>
          <w:noProof/>
          <w:lang w:val="en-US"/>
        </w:rPr>
        <w:t>PLoS ONE</w:t>
      </w:r>
      <w:r w:rsidRPr="00602675">
        <w:rPr>
          <w:rFonts w:ascii="Times New Roman" w:hAnsi="Times New Roman" w:cs="Times New Roman"/>
          <w:noProof/>
          <w:lang w:val="en-US"/>
        </w:rPr>
        <w:t xml:space="preserve">, </w:t>
      </w:r>
      <w:r w:rsidRPr="00602675">
        <w:rPr>
          <w:rFonts w:ascii="Times New Roman" w:hAnsi="Times New Roman" w:cs="Times New Roman"/>
          <w:i/>
          <w:iCs/>
          <w:noProof/>
          <w:lang w:val="en-US"/>
        </w:rPr>
        <w:t>8</w:t>
      </w:r>
      <w:r w:rsidRPr="00602675">
        <w:rPr>
          <w:rFonts w:ascii="Times New Roman" w:hAnsi="Times New Roman" w:cs="Times New Roman"/>
          <w:noProof/>
          <w:lang w:val="en-US"/>
        </w:rPr>
        <w:t>(10), e76877. doi: 10.1371/journal.pone.0076877</w:t>
      </w:r>
    </w:p>
    <w:p w14:paraId="63F79E99" w14:textId="77777777" w:rsidR="002D7DE5" w:rsidRPr="00602675" w:rsidRDefault="002D7DE5" w:rsidP="002D7DE5">
      <w:pPr>
        <w:widowControl w:val="0"/>
        <w:autoSpaceDE w:val="0"/>
        <w:autoSpaceDN w:val="0"/>
        <w:adjustRightInd w:val="0"/>
        <w:spacing w:after="60"/>
        <w:ind w:left="480" w:hanging="480"/>
        <w:rPr>
          <w:rFonts w:ascii="Times New Roman" w:hAnsi="Times New Roman" w:cs="Times New Roman"/>
          <w:noProof/>
          <w:lang w:val="en-US"/>
        </w:rPr>
      </w:pPr>
      <w:r w:rsidRPr="00602675">
        <w:rPr>
          <w:rFonts w:ascii="Times New Roman" w:hAnsi="Times New Roman" w:cs="Times New Roman"/>
          <w:noProof/>
          <w:lang w:val="en-US"/>
        </w:rPr>
        <w:t xml:space="preserve">Petrescu, A.-J. (2003). Statistical analysis of the protein environment of N-glycosylation sites: implications for occupancy, structure, and folding. </w:t>
      </w:r>
      <w:r w:rsidRPr="00602675">
        <w:rPr>
          <w:rFonts w:ascii="Times New Roman" w:hAnsi="Times New Roman" w:cs="Times New Roman"/>
          <w:i/>
          <w:iCs/>
          <w:noProof/>
          <w:lang w:val="en-US"/>
        </w:rPr>
        <w:t>Glycobiology</w:t>
      </w:r>
      <w:r w:rsidRPr="00602675">
        <w:rPr>
          <w:rFonts w:ascii="Times New Roman" w:hAnsi="Times New Roman" w:cs="Times New Roman"/>
          <w:noProof/>
          <w:lang w:val="en-US"/>
        </w:rPr>
        <w:t xml:space="preserve">, </w:t>
      </w:r>
      <w:r w:rsidRPr="00602675">
        <w:rPr>
          <w:rFonts w:ascii="Times New Roman" w:hAnsi="Times New Roman" w:cs="Times New Roman"/>
          <w:i/>
          <w:iCs/>
          <w:noProof/>
          <w:lang w:val="en-US"/>
        </w:rPr>
        <w:t>14</w:t>
      </w:r>
      <w:r w:rsidRPr="00602675">
        <w:rPr>
          <w:rFonts w:ascii="Times New Roman" w:hAnsi="Times New Roman" w:cs="Times New Roman"/>
          <w:noProof/>
          <w:lang w:val="en-US"/>
        </w:rPr>
        <w:t>(2), 103–114. doi: 10.1093/glycob/cwh008</w:t>
      </w:r>
    </w:p>
    <w:p w14:paraId="2D8C35E4" w14:textId="77777777" w:rsidR="002D7DE5" w:rsidRPr="00602675" w:rsidRDefault="002D7DE5" w:rsidP="002D7DE5">
      <w:pPr>
        <w:widowControl w:val="0"/>
        <w:autoSpaceDE w:val="0"/>
        <w:autoSpaceDN w:val="0"/>
        <w:adjustRightInd w:val="0"/>
        <w:spacing w:after="60"/>
        <w:ind w:left="480" w:hanging="480"/>
        <w:rPr>
          <w:rFonts w:ascii="Times New Roman" w:hAnsi="Times New Roman" w:cs="Times New Roman"/>
          <w:noProof/>
          <w:lang w:val="en-US"/>
        </w:rPr>
      </w:pPr>
      <w:r w:rsidRPr="00602675">
        <w:rPr>
          <w:rFonts w:ascii="Times New Roman" w:hAnsi="Times New Roman" w:cs="Times New Roman"/>
          <w:noProof/>
          <w:lang w:val="en-US"/>
        </w:rPr>
        <w:t xml:space="preserve">Starich, T. A., Xu, J., Skerrett, I. M., Nicholson, B. J., &amp; Shaw, J. E. (2009). Interactions between innexins UNC-7 and UNC-9 mediate electrical synapse specificity in the Caenorhabditis elegans locomotory nervous system. </w:t>
      </w:r>
      <w:r w:rsidRPr="00602675">
        <w:rPr>
          <w:rFonts w:ascii="Times New Roman" w:hAnsi="Times New Roman" w:cs="Times New Roman"/>
          <w:i/>
          <w:iCs/>
          <w:noProof/>
          <w:lang w:val="en-US"/>
        </w:rPr>
        <w:t>Neural Development</w:t>
      </w:r>
      <w:r w:rsidRPr="00602675">
        <w:rPr>
          <w:rFonts w:ascii="Times New Roman" w:hAnsi="Times New Roman" w:cs="Times New Roman"/>
          <w:noProof/>
          <w:lang w:val="en-US"/>
        </w:rPr>
        <w:t xml:space="preserve">, </w:t>
      </w:r>
      <w:r w:rsidRPr="00602675">
        <w:rPr>
          <w:rFonts w:ascii="Times New Roman" w:hAnsi="Times New Roman" w:cs="Times New Roman"/>
          <w:i/>
          <w:iCs/>
          <w:noProof/>
          <w:lang w:val="en-US"/>
        </w:rPr>
        <w:t>4</w:t>
      </w:r>
      <w:r w:rsidRPr="00602675">
        <w:rPr>
          <w:rFonts w:ascii="Times New Roman" w:hAnsi="Times New Roman" w:cs="Times New Roman"/>
          <w:noProof/>
          <w:lang w:val="en-US"/>
        </w:rPr>
        <w:t>(1), 16. doi: 10.1186/1749-8104-4-16</w:t>
      </w:r>
    </w:p>
    <w:p w14:paraId="76FC2B4A" w14:textId="77777777" w:rsidR="002D7DE5" w:rsidRPr="00602675" w:rsidRDefault="002D7DE5" w:rsidP="002D7DE5">
      <w:pPr>
        <w:widowControl w:val="0"/>
        <w:autoSpaceDE w:val="0"/>
        <w:autoSpaceDN w:val="0"/>
        <w:adjustRightInd w:val="0"/>
        <w:spacing w:after="60"/>
        <w:ind w:left="480" w:hanging="480"/>
        <w:rPr>
          <w:rFonts w:ascii="Times New Roman" w:hAnsi="Times New Roman" w:cs="Times New Roman"/>
          <w:noProof/>
          <w:lang w:val="en-US"/>
        </w:rPr>
      </w:pPr>
      <w:r w:rsidRPr="00602675">
        <w:rPr>
          <w:rFonts w:ascii="Times New Roman" w:hAnsi="Times New Roman" w:cs="Times New Roman"/>
          <w:noProof/>
          <w:lang w:val="en-US"/>
        </w:rPr>
        <w:t xml:space="preserve">Takaku, Y., Hwang, J. S., Wolf, A., Böttger, A., Shimizu, H., David, C. N., &amp; Gojobori, T. (2014). Innexin gap junctions in nerve cells coordinate spontaneous contractile behavior in Hydra polyps. </w:t>
      </w:r>
      <w:r w:rsidRPr="00602675">
        <w:rPr>
          <w:rFonts w:ascii="Times New Roman" w:hAnsi="Times New Roman" w:cs="Times New Roman"/>
          <w:i/>
          <w:iCs/>
          <w:noProof/>
          <w:lang w:val="en-US"/>
        </w:rPr>
        <w:t>Scientific Reports</w:t>
      </w:r>
      <w:r w:rsidRPr="00602675">
        <w:rPr>
          <w:rFonts w:ascii="Times New Roman" w:hAnsi="Times New Roman" w:cs="Times New Roman"/>
          <w:noProof/>
          <w:lang w:val="en-US"/>
        </w:rPr>
        <w:t xml:space="preserve">, </w:t>
      </w:r>
      <w:r w:rsidRPr="00602675">
        <w:rPr>
          <w:rFonts w:ascii="Times New Roman" w:hAnsi="Times New Roman" w:cs="Times New Roman"/>
          <w:i/>
          <w:iCs/>
          <w:noProof/>
          <w:lang w:val="en-US"/>
        </w:rPr>
        <w:t>4</w:t>
      </w:r>
      <w:r w:rsidRPr="00602675">
        <w:rPr>
          <w:rFonts w:ascii="Times New Roman" w:hAnsi="Times New Roman" w:cs="Times New Roman"/>
          <w:noProof/>
          <w:lang w:val="en-US"/>
        </w:rPr>
        <w:t>(1), 3573. doi: 10.1038/srep03573</w:t>
      </w:r>
    </w:p>
    <w:p w14:paraId="4315B051" w14:textId="77777777" w:rsidR="002D7DE5" w:rsidRPr="002D7DE5" w:rsidRDefault="002D7DE5" w:rsidP="002D7DE5">
      <w:pPr>
        <w:widowControl w:val="0"/>
        <w:autoSpaceDE w:val="0"/>
        <w:autoSpaceDN w:val="0"/>
        <w:adjustRightInd w:val="0"/>
        <w:spacing w:after="60"/>
        <w:ind w:left="480" w:hanging="480"/>
        <w:rPr>
          <w:rFonts w:ascii="Times New Roman" w:hAnsi="Times New Roman" w:cs="Times New Roman"/>
          <w:noProof/>
        </w:rPr>
      </w:pPr>
      <w:r w:rsidRPr="00602675">
        <w:rPr>
          <w:rFonts w:ascii="Times New Roman" w:hAnsi="Times New Roman" w:cs="Times New Roman"/>
          <w:noProof/>
          <w:lang w:val="en-US"/>
        </w:rPr>
        <w:t xml:space="preserve">Wu, C.-L., Shih, M.-F. M., Lai, J. S.-Y., Yang, H.-T., Turner, G. C., Chen, L., &amp; Chiang, A.-S. (2011). Heterotypic gap junctions between two neurons in the Drosophila brain are critical for memory. </w:t>
      </w:r>
      <w:r w:rsidRPr="002D7DE5">
        <w:rPr>
          <w:rFonts w:ascii="Times New Roman" w:hAnsi="Times New Roman" w:cs="Times New Roman"/>
          <w:i/>
          <w:iCs/>
          <w:noProof/>
        </w:rPr>
        <w:t>Current Biology</w:t>
      </w:r>
      <w:r w:rsidRPr="002D7DE5">
        <w:rPr>
          <w:rFonts w:ascii="Times New Roman" w:hAnsi="Times New Roman" w:cs="Times New Roman"/>
          <w:noProof/>
        </w:rPr>
        <w:t xml:space="preserve">, </w:t>
      </w:r>
      <w:r w:rsidRPr="002D7DE5">
        <w:rPr>
          <w:rFonts w:ascii="Times New Roman" w:hAnsi="Times New Roman" w:cs="Times New Roman"/>
          <w:i/>
          <w:iCs/>
          <w:noProof/>
        </w:rPr>
        <w:t>21</w:t>
      </w:r>
      <w:r w:rsidRPr="002D7DE5">
        <w:rPr>
          <w:rFonts w:ascii="Times New Roman" w:hAnsi="Times New Roman" w:cs="Times New Roman"/>
          <w:noProof/>
        </w:rPr>
        <w:t>(10), 848–854. doi: 10.1016/j.cub.2011.02.041</w:t>
      </w:r>
    </w:p>
    <w:p w14:paraId="6EC511F2" w14:textId="3219E5C6" w:rsidR="00990463" w:rsidRPr="009B43CE" w:rsidRDefault="009B43CE" w:rsidP="002D7DE5">
      <w:pPr>
        <w:widowControl w:val="0"/>
        <w:autoSpaceDE w:val="0"/>
        <w:autoSpaceDN w:val="0"/>
        <w:adjustRightInd w:val="0"/>
        <w:spacing w:after="60"/>
        <w:ind w:left="480" w:hanging="480"/>
        <w:rPr>
          <w:rFonts w:ascii="Times New Roman" w:hAnsi="Times New Roman" w:cs="Times New Roman"/>
        </w:rPr>
      </w:pPr>
      <w:r w:rsidRPr="009B43CE">
        <w:rPr>
          <w:rFonts w:ascii="Times New Roman" w:hAnsi="Times New Roman" w:cs="Times New Roman"/>
        </w:rPr>
        <w:fldChar w:fldCharType="end"/>
      </w:r>
    </w:p>
    <w:p w14:paraId="703F8A43" w14:textId="50A823C6" w:rsidR="00990463" w:rsidRPr="009B43CE" w:rsidRDefault="00990463" w:rsidP="009B43CE">
      <w:pPr>
        <w:spacing w:after="120"/>
        <w:rPr>
          <w:rFonts w:ascii="Times New Roman" w:hAnsi="Times New Roman" w:cs="Times New Roman"/>
        </w:rPr>
      </w:pPr>
    </w:p>
    <w:p w14:paraId="5D715173" w14:textId="5F4E7F8B" w:rsidR="00990463" w:rsidRPr="009B43CE" w:rsidRDefault="00990463" w:rsidP="009B43CE">
      <w:pPr>
        <w:spacing w:after="120"/>
        <w:rPr>
          <w:rFonts w:ascii="Times New Roman" w:hAnsi="Times New Roman" w:cs="Times New Roman"/>
        </w:rPr>
      </w:pPr>
    </w:p>
    <w:p w14:paraId="055620D8" w14:textId="77777777" w:rsidR="00455B03" w:rsidRDefault="00455B03"/>
    <w:sectPr w:rsidR="00455B03" w:rsidSect="0044293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935"/>
    <w:rsid w:val="00021820"/>
    <w:rsid w:val="0005086E"/>
    <w:rsid w:val="000814E8"/>
    <w:rsid w:val="0012049B"/>
    <w:rsid w:val="001545BD"/>
    <w:rsid w:val="001A2D31"/>
    <w:rsid w:val="001D0A3E"/>
    <w:rsid w:val="001E0F18"/>
    <w:rsid w:val="002C1BE4"/>
    <w:rsid w:val="002D7DE5"/>
    <w:rsid w:val="00442935"/>
    <w:rsid w:val="00455B03"/>
    <w:rsid w:val="004935D3"/>
    <w:rsid w:val="004E657C"/>
    <w:rsid w:val="004F5BCD"/>
    <w:rsid w:val="0055606F"/>
    <w:rsid w:val="005D7FD3"/>
    <w:rsid w:val="00602675"/>
    <w:rsid w:val="0060269B"/>
    <w:rsid w:val="00667F4E"/>
    <w:rsid w:val="00696D15"/>
    <w:rsid w:val="006A5242"/>
    <w:rsid w:val="00803CA8"/>
    <w:rsid w:val="0086171B"/>
    <w:rsid w:val="008932E2"/>
    <w:rsid w:val="00936EF3"/>
    <w:rsid w:val="00945C7C"/>
    <w:rsid w:val="009864C3"/>
    <w:rsid w:val="00990463"/>
    <w:rsid w:val="009B43CE"/>
    <w:rsid w:val="009D3B1F"/>
    <w:rsid w:val="009E2030"/>
    <w:rsid w:val="009E3695"/>
    <w:rsid w:val="00A77965"/>
    <w:rsid w:val="00AA1034"/>
    <w:rsid w:val="00B155D6"/>
    <w:rsid w:val="00B80AA9"/>
    <w:rsid w:val="00B977DF"/>
    <w:rsid w:val="00BA11ED"/>
    <w:rsid w:val="00BB45A5"/>
    <w:rsid w:val="00C2518C"/>
    <w:rsid w:val="00C436F2"/>
    <w:rsid w:val="00C806CF"/>
    <w:rsid w:val="00CA3EAF"/>
    <w:rsid w:val="00CB7993"/>
    <w:rsid w:val="00D836C8"/>
    <w:rsid w:val="00D90AF0"/>
    <w:rsid w:val="00DE6058"/>
    <w:rsid w:val="00DF79A6"/>
    <w:rsid w:val="00E03029"/>
    <w:rsid w:val="00E64920"/>
    <w:rsid w:val="00F07CB1"/>
    <w:rsid w:val="00F43302"/>
    <w:rsid w:val="00FB0149"/>
    <w:rsid w:val="00FD1685"/>
    <w:rsid w:val="00FF00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2308B"/>
  <w15:chartTrackingRefBased/>
  <w15:docId w15:val="{D703CAAA-7A7A-A341-A371-948197AC0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60269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77507">
      <w:bodyDiv w:val="1"/>
      <w:marLeft w:val="0"/>
      <w:marRight w:val="0"/>
      <w:marTop w:val="0"/>
      <w:marBottom w:val="0"/>
      <w:divBdr>
        <w:top w:val="none" w:sz="0" w:space="0" w:color="auto"/>
        <w:left w:val="none" w:sz="0" w:space="0" w:color="auto"/>
        <w:bottom w:val="none" w:sz="0" w:space="0" w:color="auto"/>
        <w:right w:val="none" w:sz="0" w:space="0" w:color="auto"/>
      </w:divBdr>
    </w:div>
    <w:div w:id="116067095">
      <w:bodyDiv w:val="1"/>
      <w:marLeft w:val="0"/>
      <w:marRight w:val="0"/>
      <w:marTop w:val="0"/>
      <w:marBottom w:val="0"/>
      <w:divBdr>
        <w:top w:val="none" w:sz="0" w:space="0" w:color="auto"/>
        <w:left w:val="none" w:sz="0" w:space="0" w:color="auto"/>
        <w:bottom w:val="none" w:sz="0" w:space="0" w:color="auto"/>
        <w:right w:val="none" w:sz="0" w:space="0" w:color="auto"/>
      </w:divBdr>
    </w:div>
    <w:div w:id="121002272">
      <w:bodyDiv w:val="1"/>
      <w:marLeft w:val="0"/>
      <w:marRight w:val="0"/>
      <w:marTop w:val="0"/>
      <w:marBottom w:val="0"/>
      <w:divBdr>
        <w:top w:val="none" w:sz="0" w:space="0" w:color="auto"/>
        <w:left w:val="none" w:sz="0" w:space="0" w:color="auto"/>
        <w:bottom w:val="none" w:sz="0" w:space="0" w:color="auto"/>
        <w:right w:val="none" w:sz="0" w:space="0" w:color="auto"/>
      </w:divBdr>
    </w:div>
    <w:div w:id="207954797">
      <w:bodyDiv w:val="1"/>
      <w:marLeft w:val="0"/>
      <w:marRight w:val="0"/>
      <w:marTop w:val="0"/>
      <w:marBottom w:val="0"/>
      <w:divBdr>
        <w:top w:val="none" w:sz="0" w:space="0" w:color="auto"/>
        <w:left w:val="none" w:sz="0" w:space="0" w:color="auto"/>
        <w:bottom w:val="none" w:sz="0" w:space="0" w:color="auto"/>
        <w:right w:val="none" w:sz="0" w:space="0" w:color="auto"/>
      </w:divBdr>
    </w:div>
    <w:div w:id="219487988">
      <w:bodyDiv w:val="1"/>
      <w:marLeft w:val="0"/>
      <w:marRight w:val="0"/>
      <w:marTop w:val="0"/>
      <w:marBottom w:val="0"/>
      <w:divBdr>
        <w:top w:val="none" w:sz="0" w:space="0" w:color="auto"/>
        <w:left w:val="none" w:sz="0" w:space="0" w:color="auto"/>
        <w:bottom w:val="none" w:sz="0" w:space="0" w:color="auto"/>
        <w:right w:val="none" w:sz="0" w:space="0" w:color="auto"/>
      </w:divBdr>
    </w:div>
    <w:div w:id="262887598">
      <w:bodyDiv w:val="1"/>
      <w:marLeft w:val="0"/>
      <w:marRight w:val="0"/>
      <w:marTop w:val="0"/>
      <w:marBottom w:val="0"/>
      <w:divBdr>
        <w:top w:val="none" w:sz="0" w:space="0" w:color="auto"/>
        <w:left w:val="none" w:sz="0" w:space="0" w:color="auto"/>
        <w:bottom w:val="none" w:sz="0" w:space="0" w:color="auto"/>
        <w:right w:val="none" w:sz="0" w:space="0" w:color="auto"/>
      </w:divBdr>
    </w:div>
    <w:div w:id="265580257">
      <w:bodyDiv w:val="1"/>
      <w:marLeft w:val="0"/>
      <w:marRight w:val="0"/>
      <w:marTop w:val="0"/>
      <w:marBottom w:val="0"/>
      <w:divBdr>
        <w:top w:val="none" w:sz="0" w:space="0" w:color="auto"/>
        <w:left w:val="none" w:sz="0" w:space="0" w:color="auto"/>
        <w:bottom w:val="none" w:sz="0" w:space="0" w:color="auto"/>
        <w:right w:val="none" w:sz="0" w:space="0" w:color="auto"/>
      </w:divBdr>
    </w:div>
    <w:div w:id="282738925">
      <w:bodyDiv w:val="1"/>
      <w:marLeft w:val="0"/>
      <w:marRight w:val="0"/>
      <w:marTop w:val="0"/>
      <w:marBottom w:val="0"/>
      <w:divBdr>
        <w:top w:val="none" w:sz="0" w:space="0" w:color="auto"/>
        <w:left w:val="none" w:sz="0" w:space="0" w:color="auto"/>
        <w:bottom w:val="none" w:sz="0" w:space="0" w:color="auto"/>
        <w:right w:val="none" w:sz="0" w:space="0" w:color="auto"/>
      </w:divBdr>
    </w:div>
    <w:div w:id="307325728">
      <w:bodyDiv w:val="1"/>
      <w:marLeft w:val="0"/>
      <w:marRight w:val="0"/>
      <w:marTop w:val="0"/>
      <w:marBottom w:val="0"/>
      <w:divBdr>
        <w:top w:val="none" w:sz="0" w:space="0" w:color="auto"/>
        <w:left w:val="none" w:sz="0" w:space="0" w:color="auto"/>
        <w:bottom w:val="none" w:sz="0" w:space="0" w:color="auto"/>
        <w:right w:val="none" w:sz="0" w:space="0" w:color="auto"/>
      </w:divBdr>
    </w:div>
    <w:div w:id="330451272">
      <w:bodyDiv w:val="1"/>
      <w:marLeft w:val="0"/>
      <w:marRight w:val="0"/>
      <w:marTop w:val="0"/>
      <w:marBottom w:val="0"/>
      <w:divBdr>
        <w:top w:val="none" w:sz="0" w:space="0" w:color="auto"/>
        <w:left w:val="none" w:sz="0" w:space="0" w:color="auto"/>
        <w:bottom w:val="none" w:sz="0" w:space="0" w:color="auto"/>
        <w:right w:val="none" w:sz="0" w:space="0" w:color="auto"/>
      </w:divBdr>
    </w:div>
    <w:div w:id="355008630">
      <w:bodyDiv w:val="1"/>
      <w:marLeft w:val="0"/>
      <w:marRight w:val="0"/>
      <w:marTop w:val="0"/>
      <w:marBottom w:val="0"/>
      <w:divBdr>
        <w:top w:val="none" w:sz="0" w:space="0" w:color="auto"/>
        <w:left w:val="none" w:sz="0" w:space="0" w:color="auto"/>
        <w:bottom w:val="none" w:sz="0" w:space="0" w:color="auto"/>
        <w:right w:val="none" w:sz="0" w:space="0" w:color="auto"/>
      </w:divBdr>
    </w:div>
    <w:div w:id="381441354">
      <w:bodyDiv w:val="1"/>
      <w:marLeft w:val="0"/>
      <w:marRight w:val="0"/>
      <w:marTop w:val="0"/>
      <w:marBottom w:val="0"/>
      <w:divBdr>
        <w:top w:val="none" w:sz="0" w:space="0" w:color="auto"/>
        <w:left w:val="none" w:sz="0" w:space="0" w:color="auto"/>
        <w:bottom w:val="none" w:sz="0" w:space="0" w:color="auto"/>
        <w:right w:val="none" w:sz="0" w:space="0" w:color="auto"/>
      </w:divBdr>
    </w:div>
    <w:div w:id="423578429">
      <w:bodyDiv w:val="1"/>
      <w:marLeft w:val="0"/>
      <w:marRight w:val="0"/>
      <w:marTop w:val="0"/>
      <w:marBottom w:val="0"/>
      <w:divBdr>
        <w:top w:val="none" w:sz="0" w:space="0" w:color="auto"/>
        <w:left w:val="none" w:sz="0" w:space="0" w:color="auto"/>
        <w:bottom w:val="none" w:sz="0" w:space="0" w:color="auto"/>
        <w:right w:val="none" w:sz="0" w:space="0" w:color="auto"/>
      </w:divBdr>
    </w:div>
    <w:div w:id="478692645">
      <w:bodyDiv w:val="1"/>
      <w:marLeft w:val="0"/>
      <w:marRight w:val="0"/>
      <w:marTop w:val="0"/>
      <w:marBottom w:val="0"/>
      <w:divBdr>
        <w:top w:val="none" w:sz="0" w:space="0" w:color="auto"/>
        <w:left w:val="none" w:sz="0" w:space="0" w:color="auto"/>
        <w:bottom w:val="none" w:sz="0" w:space="0" w:color="auto"/>
        <w:right w:val="none" w:sz="0" w:space="0" w:color="auto"/>
      </w:divBdr>
    </w:div>
    <w:div w:id="516430535">
      <w:bodyDiv w:val="1"/>
      <w:marLeft w:val="0"/>
      <w:marRight w:val="0"/>
      <w:marTop w:val="0"/>
      <w:marBottom w:val="0"/>
      <w:divBdr>
        <w:top w:val="none" w:sz="0" w:space="0" w:color="auto"/>
        <w:left w:val="none" w:sz="0" w:space="0" w:color="auto"/>
        <w:bottom w:val="none" w:sz="0" w:space="0" w:color="auto"/>
        <w:right w:val="none" w:sz="0" w:space="0" w:color="auto"/>
      </w:divBdr>
    </w:div>
    <w:div w:id="525295703">
      <w:bodyDiv w:val="1"/>
      <w:marLeft w:val="0"/>
      <w:marRight w:val="0"/>
      <w:marTop w:val="0"/>
      <w:marBottom w:val="0"/>
      <w:divBdr>
        <w:top w:val="none" w:sz="0" w:space="0" w:color="auto"/>
        <w:left w:val="none" w:sz="0" w:space="0" w:color="auto"/>
        <w:bottom w:val="none" w:sz="0" w:space="0" w:color="auto"/>
        <w:right w:val="none" w:sz="0" w:space="0" w:color="auto"/>
      </w:divBdr>
    </w:div>
    <w:div w:id="535578540">
      <w:bodyDiv w:val="1"/>
      <w:marLeft w:val="0"/>
      <w:marRight w:val="0"/>
      <w:marTop w:val="0"/>
      <w:marBottom w:val="0"/>
      <w:divBdr>
        <w:top w:val="none" w:sz="0" w:space="0" w:color="auto"/>
        <w:left w:val="none" w:sz="0" w:space="0" w:color="auto"/>
        <w:bottom w:val="none" w:sz="0" w:space="0" w:color="auto"/>
        <w:right w:val="none" w:sz="0" w:space="0" w:color="auto"/>
      </w:divBdr>
    </w:div>
    <w:div w:id="612706988">
      <w:bodyDiv w:val="1"/>
      <w:marLeft w:val="0"/>
      <w:marRight w:val="0"/>
      <w:marTop w:val="0"/>
      <w:marBottom w:val="0"/>
      <w:divBdr>
        <w:top w:val="none" w:sz="0" w:space="0" w:color="auto"/>
        <w:left w:val="none" w:sz="0" w:space="0" w:color="auto"/>
        <w:bottom w:val="none" w:sz="0" w:space="0" w:color="auto"/>
        <w:right w:val="none" w:sz="0" w:space="0" w:color="auto"/>
      </w:divBdr>
    </w:div>
    <w:div w:id="667901114">
      <w:bodyDiv w:val="1"/>
      <w:marLeft w:val="0"/>
      <w:marRight w:val="0"/>
      <w:marTop w:val="0"/>
      <w:marBottom w:val="0"/>
      <w:divBdr>
        <w:top w:val="none" w:sz="0" w:space="0" w:color="auto"/>
        <w:left w:val="none" w:sz="0" w:space="0" w:color="auto"/>
        <w:bottom w:val="none" w:sz="0" w:space="0" w:color="auto"/>
        <w:right w:val="none" w:sz="0" w:space="0" w:color="auto"/>
      </w:divBdr>
    </w:div>
    <w:div w:id="670721043">
      <w:bodyDiv w:val="1"/>
      <w:marLeft w:val="0"/>
      <w:marRight w:val="0"/>
      <w:marTop w:val="0"/>
      <w:marBottom w:val="0"/>
      <w:divBdr>
        <w:top w:val="none" w:sz="0" w:space="0" w:color="auto"/>
        <w:left w:val="none" w:sz="0" w:space="0" w:color="auto"/>
        <w:bottom w:val="none" w:sz="0" w:space="0" w:color="auto"/>
        <w:right w:val="none" w:sz="0" w:space="0" w:color="auto"/>
      </w:divBdr>
    </w:div>
    <w:div w:id="722213442">
      <w:bodyDiv w:val="1"/>
      <w:marLeft w:val="0"/>
      <w:marRight w:val="0"/>
      <w:marTop w:val="0"/>
      <w:marBottom w:val="0"/>
      <w:divBdr>
        <w:top w:val="none" w:sz="0" w:space="0" w:color="auto"/>
        <w:left w:val="none" w:sz="0" w:space="0" w:color="auto"/>
        <w:bottom w:val="none" w:sz="0" w:space="0" w:color="auto"/>
        <w:right w:val="none" w:sz="0" w:space="0" w:color="auto"/>
      </w:divBdr>
    </w:div>
    <w:div w:id="732200627">
      <w:bodyDiv w:val="1"/>
      <w:marLeft w:val="0"/>
      <w:marRight w:val="0"/>
      <w:marTop w:val="0"/>
      <w:marBottom w:val="0"/>
      <w:divBdr>
        <w:top w:val="none" w:sz="0" w:space="0" w:color="auto"/>
        <w:left w:val="none" w:sz="0" w:space="0" w:color="auto"/>
        <w:bottom w:val="none" w:sz="0" w:space="0" w:color="auto"/>
        <w:right w:val="none" w:sz="0" w:space="0" w:color="auto"/>
      </w:divBdr>
    </w:div>
    <w:div w:id="741637461">
      <w:bodyDiv w:val="1"/>
      <w:marLeft w:val="0"/>
      <w:marRight w:val="0"/>
      <w:marTop w:val="0"/>
      <w:marBottom w:val="0"/>
      <w:divBdr>
        <w:top w:val="none" w:sz="0" w:space="0" w:color="auto"/>
        <w:left w:val="none" w:sz="0" w:space="0" w:color="auto"/>
        <w:bottom w:val="none" w:sz="0" w:space="0" w:color="auto"/>
        <w:right w:val="none" w:sz="0" w:space="0" w:color="auto"/>
      </w:divBdr>
    </w:div>
    <w:div w:id="744691149">
      <w:bodyDiv w:val="1"/>
      <w:marLeft w:val="0"/>
      <w:marRight w:val="0"/>
      <w:marTop w:val="0"/>
      <w:marBottom w:val="0"/>
      <w:divBdr>
        <w:top w:val="none" w:sz="0" w:space="0" w:color="auto"/>
        <w:left w:val="none" w:sz="0" w:space="0" w:color="auto"/>
        <w:bottom w:val="none" w:sz="0" w:space="0" w:color="auto"/>
        <w:right w:val="none" w:sz="0" w:space="0" w:color="auto"/>
      </w:divBdr>
    </w:div>
    <w:div w:id="759059929">
      <w:bodyDiv w:val="1"/>
      <w:marLeft w:val="0"/>
      <w:marRight w:val="0"/>
      <w:marTop w:val="0"/>
      <w:marBottom w:val="0"/>
      <w:divBdr>
        <w:top w:val="none" w:sz="0" w:space="0" w:color="auto"/>
        <w:left w:val="none" w:sz="0" w:space="0" w:color="auto"/>
        <w:bottom w:val="none" w:sz="0" w:space="0" w:color="auto"/>
        <w:right w:val="none" w:sz="0" w:space="0" w:color="auto"/>
      </w:divBdr>
    </w:div>
    <w:div w:id="785782331">
      <w:bodyDiv w:val="1"/>
      <w:marLeft w:val="0"/>
      <w:marRight w:val="0"/>
      <w:marTop w:val="0"/>
      <w:marBottom w:val="0"/>
      <w:divBdr>
        <w:top w:val="none" w:sz="0" w:space="0" w:color="auto"/>
        <w:left w:val="none" w:sz="0" w:space="0" w:color="auto"/>
        <w:bottom w:val="none" w:sz="0" w:space="0" w:color="auto"/>
        <w:right w:val="none" w:sz="0" w:space="0" w:color="auto"/>
      </w:divBdr>
    </w:div>
    <w:div w:id="805666643">
      <w:bodyDiv w:val="1"/>
      <w:marLeft w:val="0"/>
      <w:marRight w:val="0"/>
      <w:marTop w:val="0"/>
      <w:marBottom w:val="0"/>
      <w:divBdr>
        <w:top w:val="none" w:sz="0" w:space="0" w:color="auto"/>
        <w:left w:val="none" w:sz="0" w:space="0" w:color="auto"/>
        <w:bottom w:val="none" w:sz="0" w:space="0" w:color="auto"/>
        <w:right w:val="none" w:sz="0" w:space="0" w:color="auto"/>
      </w:divBdr>
    </w:div>
    <w:div w:id="831531913">
      <w:bodyDiv w:val="1"/>
      <w:marLeft w:val="0"/>
      <w:marRight w:val="0"/>
      <w:marTop w:val="0"/>
      <w:marBottom w:val="0"/>
      <w:divBdr>
        <w:top w:val="none" w:sz="0" w:space="0" w:color="auto"/>
        <w:left w:val="none" w:sz="0" w:space="0" w:color="auto"/>
        <w:bottom w:val="none" w:sz="0" w:space="0" w:color="auto"/>
        <w:right w:val="none" w:sz="0" w:space="0" w:color="auto"/>
      </w:divBdr>
    </w:div>
    <w:div w:id="833647982">
      <w:bodyDiv w:val="1"/>
      <w:marLeft w:val="0"/>
      <w:marRight w:val="0"/>
      <w:marTop w:val="0"/>
      <w:marBottom w:val="0"/>
      <w:divBdr>
        <w:top w:val="none" w:sz="0" w:space="0" w:color="auto"/>
        <w:left w:val="none" w:sz="0" w:space="0" w:color="auto"/>
        <w:bottom w:val="none" w:sz="0" w:space="0" w:color="auto"/>
        <w:right w:val="none" w:sz="0" w:space="0" w:color="auto"/>
      </w:divBdr>
    </w:div>
    <w:div w:id="867985160">
      <w:bodyDiv w:val="1"/>
      <w:marLeft w:val="0"/>
      <w:marRight w:val="0"/>
      <w:marTop w:val="0"/>
      <w:marBottom w:val="0"/>
      <w:divBdr>
        <w:top w:val="none" w:sz="0" w:space="0" w:color="auto"/>
        <w:left w:val="none" w:sz="0" w:space="0" w:color="auto"/>
        <w:bottom w:val="none" w:sz="0" w:space="0" w:color="auto"/>
        <w:right w:val="none" w:sz="0" w:space="0" w:color="auto"/>
      </w:divBdr>
    </w:div>
    <w:div w:id="891430729">
      <w:bodyDiv w:val="1"/>
      <w:marLeft w:val="0"/>
      <w:marRight w:val="0"/>
      <w:marTop w:val="0"/>
      <w:marBottom w:val="0"/>
      <w:divBdr>
        <w:top w:val="none" w:sz="0" w:space="0" w:color="auto"/>
        <w:left w:val="none" w:sz="0" w:space="0" w:color="auto"/>
        <w:bottom w:val="none" w:sz="0" w:space="0" w:color="auto"/>
        <w:right w:val="none" w:sz="0" w:space="0" w:color="auto"/>
      </w:divBdr>
    </w:div>
    <w:div w:id="909539134">
      <w:bodyDiv w:val="1"/>
      <w:marLeft w:val="0"/>
      <w:marRight w:val="0"/>
      <w:marTop w:val="0"/>
      <w:marBottom w:val="0"/>
      <w:divBdr>
        <w:top w:val="none" w:sz="0" w:space="0" w:color="auto"/>
        <w:left w:val="none" w:sz="0" w:space="0" w:color="auto"/>
        <w:bottom w:val="none" w:sz="0" w:space="0" w:color="auto"/>
        <w:right w:val="none" w:sz="0" w:space="0" w:color="auto"/>
      </w:divBdr>
    </w:div>
    <w:div w:id="957251401">
      <w:bodyDiv w:val="1"/>
      <w:marLeft w:val="0"/>
      <w:marRight w:val="0"/>
      <w:marTop w:val="0"/>
      <w:marBottom w:val="0"/>
      <w:divBdr>
        <w:top w:val="none" w:sz="0" w:space="0" w:color="auto"/>
        <w:left w:val="none" w:sz="0" w:space="0" w:color="auto"/>
        <w:bottom w:val="none" w:sz="0" w:space="0" w:color="auto"/>
        <w:right w:val="none" w:sz="0" w:space="0" w:color="auto"/>
      </w:divBdr>
    </w:div>
    <w:div w:id="985551612">
      <w:bodyDiv w:val="1"/>
      <w:marLeft w:val="0"/>
      <w:marRight w:val="0"/>
      <w:marTop w:val="0"/>
      <w:marBottom w:val="0"/>
      <w:divBdr>
        <w:top w:val="none" w:sz="0" w:space="0" w:color="auto"/>
        <w:left w:val="none" w:sz="0" w:space="0" w:color="auto"/>
        <w:bottom w:val="none" w:sz="0" w:space="0" w:color="auto"/>
        <w:right w:val="none" w:sz="0" w:space="0" w:color="auto"/>
      </w:divBdr>
    </w:div>
    <w:div w:id="1014262050">
      <w:bodyDiv w:val="1"/>
      <w:marLeft w:val="0"/>
      <w:marRight w:val="0"/>
      <w:marTop w:val="0"/>
      <w:marBottom w:val="0"/>
      <w:divBdr>
        <w:top w:val="none" w:sz="0" w:space="0" w:color="auto"/>
        <w:left w:val="none" w:sz="0" w:space="0" w:color="auto"/>
        <w:bottom w:val="none" w:sz="0" w:space="0" w:color="auto"/>
        <w:right w:val="none" w:sz="0" w:space="0" w:color="auto"/>
      </w:divBdr>
    </w:div>
    <w:div w:id="1033774878">
      <w:bodyDiv w:val="1"/>
      <w:marLeft w:val="0"/>
      <w:marRight w:val="0"/>
      <w:marTop w:val="0"/>
      <w:marBottom w:val="0"/>
      <w:divBdr>
        <w:top w:val="none" w:sz="0" w:space="0" w:color="auto"/>
        <w:left w:val="none" w:sz="0" w:space="0" w:color="auto"/>
        <w:bottom w:val="none" w:sz="0" w:space="0" w:color="auto"/>
        <w:right w:val="none" w:sz="0" w:space="0" w:color="auto"/>
      </w:divBdr>
    </w:div>
    <w:div w:id="1036469311">
      <w:bodyDiv w:val="1"/>
      <w:marLeft w:val="0"/>
      <w:marRight w:val="0"/>
      <w:marTop w:val="0"/>
      <w:marBottom w:val="0"/>
      <w:divBdr>
        <w:top w:val="none" w:sz="0" w:space="0" w:color="auto"/>
        <w:left w:val="none" w:sz="0" w:space="0" w:color="auto"/>
        <w:bottom w:val="none" w:sz="0" w:space="0" w:color="auto"/>
        <w:right w:val="none" w:sz="0" w:space="0" w:color="auto"/>
      </w:divBdr>
    </w:div>
    <w:div w:id="1071776687">
      <w:bodyDiv w:val="1"/>
      <w:marLeft w:val="0"/>
      <w:marRight w:val="0"/>
      <w:marTop w:val="0"/>
      <w:marBottom w:val="0"/>
      <w:divBdr>
        <w:top w:val="none" w:sz="0" w:space="0" w:color="auto"/>
        <w:left w:val="none" w:sz="0" w:space="0" w:color="auto"/>
        <w:bottom w:val="none" w:sz="0" w:space="0" w:color="auto"/>
        <w:right w:val="none" w:sz="0" w:space="0" w:color="auto"/>
      </w:divBdr>
    </w:div>
    <w:div w:id="1099066305">
      <w:bodyDiv w:val="1"/>
      <w:marLeft w:val="0"/>
      <w:marRight w:val="0"/>
      <w:marTop w:val="0"/>
      <w:marBottom w:val="0"/>
      <w:divBdr>
        <w:top w:val="none" w:sz="0" w:space="0" w:color="auto"/>
        <w:left w:val="none" w:sz="0" w:space="0" w:color="auto"/>
        <w:bottom w:val="none" w:sz="0" w:space="0" w:color="auto"/>
        <w:right w:val="none" w:sz="0" w:space="0" w:color="auto"/>
      </w:divBdr>
    </w:div>
    <w:div w:id="1111894407">
      <w:bodyDiv w:val="1"/>
      <w:marLeft w:val="0"/>
      <w:marRight w:val="0"/>
      <w:marTop w:val="0"/>
      <w:marBottom w:val="0"/>
      <w:divBdr>
        <w:top w:val="none" w:sz="0" w:space="0" w:color="auto"/>
        <w:left w:val="none" w:sz="0" w:space="0" w:color="auto"/>
        <w:bottom w:val="none" w:sz="0" w:space="0" w:color="auto"/>
        <w:right w:val="none" w:sz="0" w:space="0" w:color="auto"/>
      </w:divBdr>
    </w:div>
    <w:div w:id="1174952188">
      <w:bodyDiv w:val="1"/>
      <w:marLeft w:val="0"/>
      <w:marRight w:val="0"/>
      <w:marTop w:val="0"/>
      <w:marBottom w:val="0"/>
      <w:divBdr>
        <w:top w:val="none" w:sz="0" w:space="0" w:color="auto"/>
        <w:left w:val="none" w:sz="0" w:space="0" w:color="auto"/>
        <w:bottom w:val="none" w:sz="0" w:space="0" w:color="auto"/>
        <w:right w:val="none" w:sz="0" w:space="0" w:color="auto"/>
      </w:divBdr>
    </w:div>
    <w:div w:id="1194148855">
      <w:bodyDiv w:val="1"/>
      <w:marLeft w:val="0"/>
      <w:marRight w:val="0"/>
      <w:marTop w:val="0"/>
      <w:marBottom w:val="0"/>
      <w:divBdr>
        <w:top w:val="none" w:sz="0" w:space="0" w:color="auto"/>
        <w:left w:val="none" w:sz="0" w:space="0" w:color="auto"/>
        <w:bottom w:val="none" w:sz="0" w:space="0" w:color="auto"/>
        <w:right w:val="none" w:sz="0" w:space="0" w:color="auto"/>
      </w:divBdr>
    </w:div>
    <w:div w:id="1200505987">
      <w:bodyDiv w:val="1"/>
      <w:marLeft w:val="0"/>
      <w:marRight w:val="0"/>
      <w:marTop w:val="0"/>
      <w:marBottom w:val="0"/>
      <w:divBdr>
        <w:top w:val="none" w:sz="0" w:space="0" w:color="auto"/>
        <w:left w:val="none" w:sz="0" w:space="0" w:color="auto"/>
        <w:bottom w:val="none" w:sz="0" w:space="0" w:color="auto"/>
        <w:right w:val="none" w:sz="0" w:space="0" w:color="auto"/>
      </w:divBdr>
    </w:div>
    <w:div w:id="1211302543">
      <w:bodyDiv w:val="1"/>
      <w:marLeft w:val="0"/>
      <w:marRight w:val="0"/>
      <w:marTop w:val="0"/>
      <w:marBottom w:val="0"/>
      <w:divBdr>
        <w:top w:val="none" w:sz="0" w:space="0" w:color="auto"/>
        <w:left w:val="none" w:sz="0" w:space="0" w:color="auto"/>
        <w:bottom w:val="none" w:sz="0" w:space="0" w:color="auto"/>
        <w:right w:val="none" w:sz="0" w:space="0" w:color="auto"/>
      </w:divBdr>
    </w:div>
    <w:div w:id="1304232896">
      <w:bodyDiv w:val="1"/>
      <w:marLeft w:val="0"/>
      <w:marRight w:val="0"/>
      <w:marTop w:val="0"/>
      <w:marBottom w:val="0"/>
      <w:divBdr>
        <w:top w:val="none" w:sz="0" w:space="0" w:color="auto"/>
        <w:left w:val="none" w:sz="0" w:space="0" w:color="auto"/>
        <w:bottom w:val="none" w:sz="0" w:space="0" w:color="auto"/>
        <w:right w:val="none" w:sz="0" w:space="0" w:color="auto"/>
      </w:divBdr>
    </w:div>
    <w:div w:id="1436361385">
      <w:bodyDiv w:val="1"/>
      <w:marLeft w:val="0"/>
      <w:marRight w:val="0"/>
      <w:marTop w:val="0"/>
      <w:marBottom w:val="0"/>
      <w:divBdr>
        <w:top w:val="none" w:sz="0" w:space="0" w:color="auto"/>
        <w:left w:val="none" w:sz="0" w:space="0" w:color="auto"/>
        <w:bottom w:val="none" w:sz="0" w:space="0" w:color="auto"/>
        <w:right w:val="none" w:sz="0" w:space="0" w:color="auto"/>
      </w:divBdr>
    </w:div>
    <w:div w:id="1495103135">
      <w:bodyDiv w:val="1"/>
      <w:marLeft w:val="0"/>
      <w:marRight w:val="0"/>
      <w:marTop w:val="0"/>
      <w:marBottom w:val="0"/>
      <w:divBdr>
        <w:top w:val="none" w:sz="0" w:space="0" w:color="auto"/>
        <w:left w:val="none" w:sz="0" w:space="0" w:color="auto"/>
        <w:bottom w:val="none" w:sz="0" w:space="0" w:color="auto"/>
        <w:right w:val="none" w:sz="0" w:space="0" w:color="auto"/>
      </w:divBdr>
    </w:div>
    <w:div w:id="1537041388">
      <w:bodyDiv w:val="1"/>
      <w:marLeft w:val="0"/>
      <w:marRight w:val="0"/>
      <w:marTop w:val="0"/>
      <w:marBottom w:val="0"/>
      <w:divBdr>
        <w:top w:val="none" w:sz="0" w:space="0" w:color="auto"/>
        <w:left w:val="none" w:sz="0" w:space="0" w:color="auto"/>
        <w:bottom w:val="none" w:sz="0" w:space="0" w:color="auto"/>
        <w:right w:val="none" w:sz="0" w:space="0" w:color="auto"/>
      </w:divBdr>
    </w:div>
    <w:div w:id="1558007957">
      <w:bodyDiv w:val="1"/>
      <w:marLeft w:val="0"/>
      <w:marRight w:val="0"/>
      <w:marTop w:val="0"/>
      <w:marBottom w:val="0"/>
      <w:divBdr>
        <w:top w:val="none" w:sz="0" w:space="0" w:color="auto"/>
        <w:left w:val="none" w:sz="0" w:space="0" w:color="auto"/>
        <w:bottom w:val="none" w:sz="0" w:space="0" w:color="auto"/>
        <w:right w:val="none" w:sz="0" w:space="0" w:color="auto"/>
      </w:divBdr>
    </w:div>
    <w:div w:id="1579513732">
      <w:bodyDiv w:val="1"/>
      <w:marLeft w:val="0"/>
      <w:marRight w:val="0"/>
      <w:marTop w:val="0"/>
      <w:marBottom w:val="0"/>
      <w:divBdr>
        <w:top w:val="none" w:sz="0" w:space="0" w:color="auto"/>
        <w:left w:val="none" w:sz="0" w:space="0" w:color="auto"/>
        <w:bottom w:val="none" w:sz="0" w:space="0" w:color="auto"/>
        <w:right w:val="none" w:sz="0" w:space="0" w:color="auto"/>
      </w:divBdr>
    </w:div>
    <w:div w:id="1580943588">
      <w:bodyDiv w:val="1"/>
      <w:marLeft w:val="0"/>
      <w:marRight w:val="0"/>
      <w:marTop w:val="0"/>
      <w:marBottom w:val="0"/>
      <w:divBdr>
        <w:top w:val="none" w:sz="0" w:space="0" w:color="auto"/>
        <w:left w:val="none" w:sz="0" w:space="0" w:color="auto"/>
        <w:bottom w:val="none" w:sz="0" w:space="0" w:color="auto"/>
        <w:right w:val="none" w:sz="0" w:space="0" w:color="auto"/>
      </w:divBdr>
    </w:div>
    <w:div w:id="1599679800">
      <w:bodyDiv w:val="1"/>
      <w:marLeft w:val="0"/>
      <w:marRight w:val="0"/>
      <w:marTop w:val="0"/>
      <w:marBottom w:val="0"/>
      <w:divBdr>
        <w:top w:val="none" w:sz="0" w:space="0" w:color="auto"/>
        <w:left w:val="none" w:sz="0" w:space="0" w:color="auto"/>
        <w:bottom w:val="none" w:sz="0" w:space="0" w:color="auto"/>
        <w:right w:val="none" w:sz="0" w:space="0" w:color="auto"/>
      </w:divBdr>
    </w:div>
    <w:div w:id="1621061838">
      <w:bodyDiv w:val="1"/>
      <w:marLeft w:val="0"/>
      <w:marRight w:val="0"/>
      <w:marTop w:val="0"/>
      <w:marBottom w:val="0"/>
      <w:divBdr>
        <w:top w:val="none" w:sz="0" w:space="0" w:color="auto"/>
        <w:left w:val="none" w:sz="0" w:space="0" w:color="auto"/>
        <w:bottom w:val="none" w:sz="0" w:space="0" w:color="auto"/>
        <w:right w:val="none" w:sz="0" w:space="0" w:color="auto"/>
      </w:divBdr>
    </w:div>
    <w:div w:id="1667587101">
      <w:bodyDiv w:val="1"/>
      <w:marLeft w:val="0"/>
      <w:marRight w:val="0"/>
      <w:marTop w:val="0"/>
      <w:marBottom w:val="0"/>
      <w:divBdr>
        <w:top w:val="none" w:sz="0" w:space="0" w:color="auto"/>
        <w:left w:val="none" w:sz="0" w:space="0" w:color="auto"/>
        <w:bottom w:val="none" w:sz="0" w:space="0" w:color="auto"/>
        <w:right w:val="none" w:sz="0" w:space="0" w:color="auto"/>
      </w:divBdr>
    </w:div>
    <w:div w:id="1713655885">
      <w:bodyDiv w:val="1"/>
      <w:marLeft w:val="0"/>
      <w:marRight w:val="0"/>
      <w:marTop w:val="0"/>
      <w:marBottom w:val="0"/>
      <w:divBdr>
        <w:top w:val="none" w:sz="0" w:space="0" w:color="auto"/>
        <w:left w:val="none" w:sz="0" w:space="0" w:color="auto"/>
        <w:bottom w:val="none" w:sz="0" w:space="0" w:color="auto"/>
        <w:right w:val="none" w:sz="0" w:space="0" w:color="auto"/>
      </w:divBdr>
    </w:div>
    <w:div w:id="1753237968">
      <w:bodyDiv w:val="1"/>
      <w:marLeft w:val="0"/>
      <w:marRight w:val="0"/>
      <w:marTop w:val="0"/>
      <w:marBottom w:val="0"/>
      <w:divBdr>
        <w:top w:val="none" w:sz="0" w:space="0" w:color="auto"/>
        <w:left w:val="none" w:sz="0" w:space="0" w:color="auto"/>
        <w:bottom w:val="none" w:sz="0" w:space="0" w:color="auto"/>
        <w:right w:val="none" w:sz="0" w:space="0" w:color="auto"/>
      </w:divBdr>
    </w:div>
    <w:div w:id="1779254180">
      <w:bodyDiv w:val="1"/>
      <w:marLeft w:val="0"/>
      <w:marRight w:val="0"/>
      <w:marTop w:val="0"/>
      <w:marBottom w:val="0"/>
      <w:divBdr>
        <w:top w:val="none" w:sz="0" w:space="0" w:color="auto"/>
        <w:left w:val="none" w:sz="0" w:space="0" w:color="auto"/>
        <w:bottom w:val="none" w:sz="0" w:space="0" w:color="auto"/>
        <w:right w:val="none" w:sz="0" w:space="0" w:color="auto"/>
      </w:divBdr>
    </w:div>
    <w:div w:id="1822194196">
      <w:bodyDiv w:val="1"/>
      <w:marLeft w:val="0"/>
      <w:marRight w:val="0"/>
      <w:marTop w:val="0"/>
      <w:marBottom w:val="0"/>
      <w:divBdr>
        <w:top w:val="none" w:sz="0" w:space="0" w:color="auto"/>
        <w:left w:val="none" w:sz="0" w:space="0" w:color="auto"/>
        <w:bottom w:val="none" w:sz="0" w:space="0" w:color="auto"/>
        <w:right w:val="none" w:sz="0" w:space="0" w:color="auto"/>
      </w:divBdr>
    </w:div>
    <w:div w:id="1826816563">
      <w:bodyDiv w:val="1"/>
      <w:marLeft w:val="0"/>
      <w:marRight w:val="0"/>
      <w:marTop w:val="0"/>
      <w:marBottom w:val="0"/>
      <w:divBdr>
        <w:top w:val="none" w:sz="0" w:space="0" w:color="auto"/>
        <w:left w:val="none" w:sz="0" w:space="0" w:color="auto"/>
        <w:bottom w:val="none" w:sz="0" w:space="0" w:color="auto"/>
        <w:right w:val="none" w:sz="0" w:space="0" w:color="auto"/>
      </w:divBdr>
    </w:div>
    <w:div w:id="1848327197">
      <w:bodyDiv w:val="1"/>
      <w:marLeft w:val="0"/>
      <w:marRight w:val="0"/>
      <w:marTop w:val="0"/>
      <w:marBottom w:val="0"/>
      <w:divBdr>
        <w:top w:val="none" w:sz="0" w:space="0" w:color="auto"/>
        <w:left w:val="none" w:sz="0" w:space="0" w:color="auto"/>
        <w:bottom w:val="none" w:sz="0" w:space="0" w:color="auto"/>
        <w:right w:val="none" w:sz="0" w:space="0" w:color="auto"/>
      </w:divBdr>
    </w:div>
    <w:div w:id="1886482047">
      <w:bodyDiv w:val="1"/>
      <w:marLeft w:val="0"/>
      <w:marRight w:val="0"/>
      <w:marTop w:val="0"/>
      <w:marBottom w:val="0"/>
      <w:divBdr>
        <w:top w:val="none" w:sz="0" w:space="0" w:color="auto"/>
        <w:left w:val="none" w:sz="0" w:space="0" w:color="auto"/>
        <w:bottom w:val="none" w:sz="0" w:space="0" w:color="auto"/>
        <w:right w:val="none" w:sz="0" w:space="0" w:color="auto"/>
      </w:divBdr>
    </w:div>
    <w:div w:id="1954048159">
      <w:bodyDiv w:val="1"/>
      <w:marLeft w:val="0"/>
      <w:marRight w:val="0"/>
      <w:marTop w:val="0"/>
      <w:marBottom w:val="0"/>
      <w:divBdr>
        <w:top w:val="none" w:sz="0" w:space="0" w:color="auto"/>
        <w:left w:val="none" w:sz="0" w:space="0" w:color="auto"/>
        <w:bottom w:val="none" w:sz="0" w:space="0" w:color="auto"/>
        <w:right w:val="none" w:sz="0" w:space="0" w:color="auto"/>
      </w:divBdr>
    </w:div>
    <w:div w:id="1997302270">
      <w:bodyDiv w:val="1"/>
      <w:marLeft w:val="0"/>
      <w:marRight w:val="0"/>
      <w:marTop w:val="0"/>
      <w:marBottom w:val="0"/>
      <w:divBdr>
        <w:top w:val="none" w:sz="0" w:space="0" w:color="auto"/>
        <w:left w:val="none" w:sz="0" w:space="0" w:color="auto"/>
        <w:bottom w:val="none" w:sz="0" w:space="0" w:color="auto"/>
        <w:right w:val="none" w:sz="0" w:space="0" w:color="auto"/>
      </w:divBdr>
    </w:div>
    <w:div w:id="2043237330">
      <w:bodyDiv w:val="1"/>
      <w:marLeft w:val="0"/>
      <w:marRight w:val="0"/>
      <w:marTop w:val="0"/>
      <w:marBottom w:val="0"/>
      <w:divBdr>
        <w:top w:val="none" w:sz="0" w:space="0" w:color="auto"/>
        <w:left w:val="none" w:sz="0" w:space="0" w:color="auto"/>
        <w:bottom w:val="none" w:sz="0" w:space="0" w:color="auto"/>
        <w:right w:val="none" w:sz="0" w:space="0" w:color="auto"/>
      </w:divBdr>
    </w:div>
    <w:div w:id="2047288419">
      <w:bodyDiv w:val="1"/>
      <w:marLeft w:val="0"/>
      <w:marRight w:val="0"/>
      <w:marTop w:val="0"/>
      <w:marBottom w:val="0"/>
      <w:divBdr>
        <w:top w:val="none" w:sz="0" w:space="0" w:color="auto"/>
        <w:left w:val="none" w:sz="0" w:space="0" w:color="auto"/>
        <w:bottom w:val="none" w:sz="0" w:space="0" w:color="auto"/>
        <w:right w:val="none" w:sz="0" w:space="0" w:color="auto"/>
      </w:divBdr>
    </w:div>
    <w:div w:id="204898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78CC7-1BC5-7A43-9430-189695160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3362</Words>
  <Characters>21183</Characters>
  <Application>Microsoft Office Word</Application>
  <DocSecurity>0</DocSecurity>
  <Lines>176</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Welzel, Georg</dc:creator>
  <cp:keywords/>
  <dc:description/>
  <cp:lastModifiedBy>Welzel, Georg</cp:lastModifiedBy>
  <cp:revision>4</cp:revision>
  <cp:lastPrinted>2021-12-16T07:39:00Z</cp:lastPrinted>
  <dcterms:created xsi:type="dcterms:W3CDTF">2021-12-15T09:25:00Z</dcterms:created>
  <dcterms:modified xsi:type="dcterms:W3CDTF">2021-12-23T10:28:00Z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http://www.zotero.org/styles/begell-house-apa</vt:lpwstr>
  </property>
  <property fmtid="{D5CDD505-2E9C-101B-9397-08002B2CF9AE}" pid="3" name="Mendeley Recent Style Name 0_1">
    <vt:lpwstr>Begell House - APA</vt:lpwstr>
  </property>
  <property fmtid="{D5CDD505-2E9C-101B-9397-08002B2CF9AE}" pid="4" name="Mendeley Recent Style Id 1_1">
    <vt:lpwstr>http://www.zotero.org/styles/cell</vt:lpwstr>
  </property>
  <property fmtid="{D5CDD505-2E9C-101B-9397-08002B2CF9AE}" pid="5" name="Mendeley Recent Style Name 1_1">
    <vt:lpwstr>Cell</vt:lpwstr>
  </property>
  <property fmtid="{D5CDD505-2E9C-101B-9397-08002B2CF9AE}" pid="6" name="Mendeley Recent Style Id 2_1">
    <vt:lpwstr>http://www.zotero.org/styles/cell-numeric</vt:lpwstr>
  </property>
  <property fmtid="{D5CDD505-2E9C-101B-9397-08002B2CF9AE}" pid="7" name="Mendeley Recent Style Name 2_1">
    <vt:lpwstr>Cell journals (numeric)</vt:lpwstr>
  </property>
  <property fmtid="{D5CDD505-2E9C-101B-9397-08002B2CF9AE}" pid="8" name="Mendeley Recent Style Id 3_1">
    <vt:lpwstr>http://www.zotero.org/styles/cell-numeric-superscript</vt:lpwstr>
  </property>
  <property fmtid="{D5CDD505-2E9C-101B-9397-08002B2CF9AE}" pid="9" name="Mendeley Recent Style Name 3_1">
    <vt:lpwstr>Cell journals (numeric, superscript)</vt:lpwstr>
  </property>
  <property fmtid="{D5CDD505-2E9C-101B-9397-08002B2CF9AE}" pid="10" name="Mendeley Recent Style Id 4_1">
    <vt:lpwstr>http://www.zotero.org/styles/current-biology</vt:lpwstr>
  </property>
  <property fmtid="{D5CDD505-2E9C-101B-9397-08002B2CF9AE}" pid="11" name="Mendeley Recent Style Name 4_1">
    <vt:lpwstr>Current Biology</vt:lpwstr>
  </property>
  <property fmtid="{D5CDD505-2E9C-101B-9397-08002B2CF9AE}" pid="12" name="Mendeley Recent Style Id 5_1">
    <vt:lpwstr>http://www.zotero.org/styles/elsevier-harvard2</vt:lpwstr>
  </property>
  <property fmtid="{D5CDD505-2E9C-101B-9397-08002B2CF9AE}" pid="13" name="Mendeley Recent Style Name 5_1">
    <vt:lpwstr>Elsevier Harvard 2</vt:lpwstr>
  </property>
  <property fmtid="{D5CDD505-2E9C-101B-9397-08002B2CF9AE}" pid="14" name="Mendeley Recent Style Id 6_1">
    <vt:lpwstr>http://www.zotero.org/styles/journal-of-neuroscience-methods</vt:lpwstr>
  </property>
  <property fmtid="{D5CDD505-2E9C-101B-9397-08002B2CF9AE}" pid="15" name="Mendeley Recent Style Name 6_1">
    <vt:lpwstr>Journal of Neuroscience Methods</vt:lpwstr>
  </property>
  <property fmtid="{D5CDD505-2E9C-101B-9397-08002B2CF9AE}" pid="16" name="Mendeley Recent Style Id 7_1">
    <vt:lpwstr>http://www.zotero.org/styles/molecular-biology-and-evolution</vt:lpwstr>
  </property>
  <property fmtid="{D5CDD505-2E9C-101B-9397-08002B2CF9AE}" pid="17" name="Mendeley Recent Style Name 7_1">
    <vt:lpwstr>Molecular Biology and Evolution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9b8af74e-1114-3b64-8346-3dec401f0812</vt:lpwstr>
  </property>
  <property fmtid="{D5CDD505-2E9C-101B-9397-08002B2CF9AE}" pid="24" name="Mendeley Citation Style_1">
    <vt:lpwstr>http://www.zotero.org/styles/begell-house-apa</vt:lpwstr>
  </property>
</Properties>
</file>